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76"/>
        <w:gridCol w:w="3181"/>
        <w:gridCol w:w="3181"/>
      </w:tblGrid>
      <w:tr w:rsidR="006F66E4" w14:paraId="68729194" w14:textId="77777777">
        <w:tc>
          <w:tcPr>
            <w:tcW w:w="1700" w:type="pct"/>
            <w:tcBorders>
              <w:top w:val="none" w:sz="0" w:space="0" w:color="FFFFFF"/>
              <w:left w:val="none" w:sz="0" w:space="0" w:color="FFFFFF"/>
              <w:bottom w:val="none" w:sz="0" w:space="0" w:color="FFFFFF"/>
              <w:right w:val="none" w:sz="0" w:space="0" w:color="FFFFFF"/>
            </w:tcBorders>
            <w:vAlign w:val="center"/>
          </w:tcPr>
          <w:p w14:paraId="6EEE5736" w14:textId="77777777" w:rsidR="006F66E4" w:rsidRDefault="00C233F0">
            <w:r>
              <w:rPr>
                <w:noProof/>
              </w:rPr>
              <w:drawing>
                <wp:inline distT="0" distB="0" distL="0" distR="0" wp14:anchorId="2B50D62A" wp14:editId="5734CAD2">
                  <wp:extent cx="1238250" cy="2476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238250" cy="247650"/>
                          </a:xfrm>
                          <a:prstGeom prst="rect">
                            <a:avLst/>
                          </a:prstGeom>
                        </pic:spPr>
                      </pic:pic>
                    </a:graphicData>
                  </a:graphic>
                </wp:inline>
              </w:drawing>
            </w:r>
          </w:p>
        </w:tc>
        <w:tc>
          <w:tcPr>
            <w:tcW w:w="1650" w:type="pct"/>
            <w:tcBorders>
              <w:top w:val="none" w:sz="0" w:space="0" w:color="FFFFFF"/>
              <w:left w:val="none" w:sz="0" w:space="0" w:color="FFFFFF"/>
              <w:bottom w:val="none" w:sz="0" w:space="0" w:color="FFFFFF"/>
              <w:right w:val="none" w:sz="0" w:space="0" w:color="FFFFFF"/>
            </w:tcBorders>
            <w:vAlign w:val="center"/>
          </w:tcPr>
          <w:p w14:paraId="4894A69B" w14:textId="77777777" w:rsidR="006F66E4" w:rsidRDefault="00C233F0">
            <w:pPr>
              <w:jc w:val="center"/>
            </w:pPr>
            <w:r>
              <w:rPr>
                <w:noProof/>
              </w:rPr>
              <w:drawing>
                <wp:inline distT="0" distB="0" distL="0" distR="0" wp14:anchorId="1F55B1A8" wp14:editId="358D4BEE">
                  <wp:extent cx="628650" cy="295275"/>
                  <wp:effectExtent l="0" t="0" r="0" b="0"/>
                  <wp:docPr id="1503661814" name="Image 1503661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628650" cy="295275"/>
                          </a:xfrm>
                          <a:prstGeom prst="rect">
                            <a:avLst/>
                          </a:prstGeom>
                        </pic:spPr>
                      </pic:pic>
                    </a:graphicData>
                  </a:graphic>
                </wp:inline>
              </w:drawing>
            </w:r>
          </w:p>
        </w:tc>
        <w:tc>
          <w:tcPr>
            <w:tcW w:w="1650" w:type="pct"/>
            <w:tcBorders>
              <w:top w:val="none" w:sz="0" w:space="0" w:color="FFFFFF"/>
              <w:left w:val="none" w:sz="0" w:space="0" w:color="FFFFFF"/>
              <w:bottom w:val="none" w:sz="0" w:space="0" w:color="FFFFFF"/>
              <w:right w:val="none" w:sz="0" w:space="0" w:color="FFFFFF"/>
            </w:tcBorders>
            <w:vAlign w:val="center"/>
          </w:tcPr>
          <w:p w14:paraId="09C8690B" w14:textId="77777777" w:rsidR="006F66E4" w:rsidRDefault="00C233F0">
            <w:pPr>
              <w:jc w:val="right"/>
            </w:pPr>
            <w:r>
              <w:rPr>
                <w:noProof/>
              </w:rPr>
              <w:drawing>
                <wp:inline distT="0" distB="0" distL="0" distR="0" wp14:anchorId="08A6B165" wp14:editId="7DF0318D">
                  <wp:extent cx="990600" cy="285750"/>
                  <wp:effectExtent l="0" t="0" r="0" b="0"/>
                  <wp:docPr id="1258422104" name="Image 125842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990600" cy="285750"/>
                          </a:xfrm>
                          <a:prstGeom prst="rect">
                            <a:avLst/>
                          </a:prstGeom>
                        </pic:spPr>
                      </pic:pic>
                    </a:graphicData>
                  </a:graphic>
                </wp:inline>
              </w:drawing>
            </w:r>
          </w:p>
        </w:tc>
      </w:tr>
    </w:tbl>
    <w:p w14:paraId="0E47B8A7" w14:textId="77777777" w:rsidR="006F66E4" w:rsidRDefault="006F66E4">
      <w:pPr>
        <w:spacing w:after="300"/>
      </w:pPr>
    </w:p>
    <w:p w14:paraId="7083A8FF" w14:textId="32EE6099" w:rsidR="006F66E4" w:rsidRPr="0072568F" w:rsidRDefault="00C233F0">
      <w:pPr>
        <w:spacing w:after="400"/>
        <w:jc w:val="right"/>
        <w:rPr>
          <w:lang w:val="en-US"/>
        </w:rPr>
      </w:pPr>
      <w:r w:rsidRPr="0072568F">
        <w:rPr>
          <w:lang w:val="en-US"/>
        </w:rPr>
        <w:t xml:space="preserve">Paris, </w:t>
      </w:r>
      <w:r w:rsidR="00B273E0">
        <w:rPr>
          <w:lang w:val="en-US"/>
        </w:rPr>
        <w:t>3 August 3, 2026</w:t>
      </w:r>
    </w:p>
    <w:p w14:paraId="05F71FAC" w14:textId="77777777" w:rsidR="006F66E4" w:rsidRPr="0072568F" w:rsidRDefault="00C233F0" w:rsidP="00B273E0">
      <w:pPr>
        <w:jc w:val="right"/>
        <w:rPr>
          <w:lang w:val="en-US"/>
        </w:rPr>
      </w:pPr>
      <w:r w:rsidRPr="0072568F">
        <w:rPr>
          <w:lang w:val="en-US"/>
        </w:rPr>
        <w:t>IASB – Mr Bruce Mackenzie</w:t>
      </w:r>
    </w:p>
    <w:p w14:paraId="7486C5A6" w14:textId="77777777" w:rsidR="006F66E4" w:rsidRPr="0072568F" w:rsidRDefault="00C233F0" w:rsidP="00B273E0">
      <w:pPr>
        <w:jc w:val="right"/>
        <w:rPr>
          <w:lang w:val="en-US"/>
        </w:rPr>
      </w:pPr>
      <w:r w:rsidRPr="0072568F">
        <w:rPr>
          <w:lang w:val="en-US"/>
        </w:rPr>
        <w:t>IFRS Interpretations Committee Chair</w:t>
      </w:r>
    </w:p>
    <w:p w14:paraId="71596C09" w14:textId="77777777" w:rsidR="006F66E4" w:rsidRPr="0072568F" w:rsidRDefault="00C233F0" w:rsidP="00B273E0">
      <w:pPr>
        <w:jc w:val="right"/>
        <w:rPr>
          <w:lang w:val="en-US"/>
        </w:rPr>
      </w:pPr>
      <w:r w:rsidRPr="0072568F">
        <w:rPr>
          <w:lang w:val="en-US"/>
        </w:rPr>
        <w:t>Columbus Building</w:t>
      </w:r>
    </w:p>
    <w:p w14:paraId="0E92837E" w14:textId="77777777" w:rsidR="006F66E4" w:rsidRPr="0072568F" w:rsidRDefault="00C233F0" w:rsidP="00B273E0">
      <w:pPr>
        <w:jc w:val="right"/>
        <w:rPr>
          <w:lang w:val="en-US"/>
        </w:rPr>
      </w:pPr>
      <w:r w:rsidRPr="0072568F">
        <w:rPr>
          <w:lang w:val="en-US"/>
        </w:rPr>
        <w:t>7 Westferry Circus – Canary Wharf</w:t>
      </w:r>
    </w:p>
    <w:p w14:paraId="25CB33BE" w14:textId="77777777" w:rsidR="006F66E4" w:rsidRPr="0072568F" w:rsidRDefault="00C233F0" w:rsidP="00B273E0">
      <w:pPr>
        <w:spacing w:after="400"/>
        <w:jc w:val="right"/>
        <w:rPr>
          <w:lang w:val="en-US"/>
        </w:rPr>
      </w:pPr>
      <w:r w:rsidRPr="0072568F">
        <w:rPr>
          <w:lang w:val="en-US"/>
        </w:rPr>
        <w:t>London E14 4HD</w:t>
      </w:r>
    </w:p>
    <w:p w14:paraId="10466D34" w14:textId="45CFEDD1" w:rsidR="006F66E4" w:rsidRDefault="00C233F0" w:rsidP="00B273E0">
      <w:pPr>
        <w:rPr>
          <w:b/>
          <w:bCs/>
          <w:lang w:val="en-US"/>
        </w:rPr>
      </w:pPr>
      <w:r w:rsidRPr="0072568F">
        <w:rPr>
          <w:b/>
          <w:bCs/>
          <w:lang w:val="en-US"/>
        </w:rPr>
        <w:t>Re: Tentative Agenda Decisions – Management-defined Performance Measures:</w:t>
      </w:r>
      <w:r w:rsidR="00B273E0">
        <w:rPr>
          <w:b/>
          <w:bCs/>
          <w:lang w:val="en-US"/>
        </w:rPr>
        <w:t xml:space="preserve"> </w:t>
      </w:r>
      <w:r w:rsidRPr="0072568F">
        <w:rPr>
          <w:b/>
          <w:bCs/>
          <w:lang w:val="en-US"/>
        </w:rPr>
        <w:t xml:space="preserve">Hypothetical Income and Expenses </w:t>
      </w:r>
    </w:p>
    <w:p w14:paraId="15D23033" w14:textId="77777777" w:rsidR="00B273E0" w:rsidRPr="0072568F" w:rsidRDefault="00B273E0" w:rsidP="00B273E0">
      <w:pPr>
        <w:rPr>
          <w:lang w:val="en-US"/>
        </w:rPr>
      </w:pPr>
    </w:p>
    <w:p w14:paraId="78D82FB7" w14:textId="77777777" w:rsidR="006F66E4" w:rsidRPr="0072568F" w:rsidRDefault="00C233F0">
      <w:pPr>
        <w:spacing w:after="300"/>
        <w:rPr>
          <w:lang w:val="en-US"/>
        </w:rPr>
      </w:pPr>
      <w:r w:rsidRPr="0072568F">
        <w:rPr>
          <w:lang w:val="en-US"/>
        </w:rPr>
        <w:t>Dear Mr Mackenzie,</w:t>
      </w:r>
    </w:p>
    <w:p w14:paraId="18AB78CB" w14:textId="19B415D1" w:rsidR="006F66E4" w:rsidRPr="0072568F" w:rsidRDefault="00C233F0">
      <w:pPr>
        <w:spacing w:after="200"/>
        <w:jc w:val="both"/>
        <w:rPr>
          <w:lang w:val="en-US"/>
        </w:rPr>
      </w:pPr>
      <w:r w:rsidRPr="0072568F">
        <w:rPr>
          <w:lang w:val="en-US"/>
        </w:rPr>
        <w:t xml:space="preserve">ACTEO, </w:t>
      </w:r>
      <w:r w:rsidR="00B273E0">
        <w:rPr>
          <w:lang w:val="en-US"/>
        </w:rPr>
        <w:t>L’</w:t>
      </w:r>
      <w:r w:rsidRPr="0072568F">
        <w:rPr>
          <w:lang w:val="en-US"/>
        </w:rPr>
        <w:t>AFEP and MEDEF welcome the opportunity to comment on th</w:t>
      </w:r>
      <w:r w:rsidR="00B273E0">
        <w:rPr>
          <w:lang w:val="en-US"/>
        </w:rPr>
        <w:t>is</w:t>
      </w:r>
      <w:r w:rsidRPr="0072568F">
        <w:rPr>
          <w:lang w:val="en-US"/>
        </w:rPr>
        <w:t xml:space="preserve"> tentative agenda decision</w:t>
      </w:r>
      <w:r w:rsidR="00B273E0">
        <w:rPr>
          <w:lang w:val="en-US"/>
        </w:rPr>
        <w:t>.</w:t>
      </w:r>
    </w:p>
    <w:p w14:paraId="0545BA39" w14:textId="72731CE6" w:rsidR="006F66E4" w:rsidRPr="0072568F" w:rsidRDefault="00C233F0">
      <w:pPr>
        <w:spacing w:after="200"/>
        <w:jc w:val="both"/>
        <w:rPr>
          <w:lang w:val="en-US"/>
        </w:rPr>
      </w:pPr>
      <w:r w:rsidRPr="0072568F">
        <w:rPr>
          <w:lang w:val="en-US"/>
        </w:rPr>
        <w:t xml:space="preserve">In June, the Committee considered two submissions relating to management-defined performance measures (MPMs): hypothetical income and expenses and public </w:t>
      </w:r>
      <w:r w:rsidR="00B273E0" w:rsidRPr="0072568F">
        <w:rPr>
          <w:lang w:val="en-US"/>
        </w:rPr>
        <w:t>communications and</w:t>
      </w:r>
      <w:r w:rsidRPr="0072568F">
        <w:rPr>
          <w:lang w:val="en-US"/>
        </w:rPr>
        <w:t xml:space="preserve"> concluded in both cases that the requirements in IFRS 18 provide an adequate basis.</w:t>
      </w:r>
    </w:p>
    <w:p w14:paraId="5F05D234" w14:textId="77777777" w:rsidR="006F66E4" w:rsidRPr="0072568F" w:rsidRDefault="00C233F0">
      <w:pPr>
        <w:spacing w:after="200"/>
        <w:jc w:val="both"/>
        <w:rPr>
          <w:lang w:val="en-US"/>
        </w:rPr>
      </w:pPr>
      <w:r w:rsidRPr="0072568F">
        <w:rPr>
          <w:lang w:val="en-US"/>
        </w:rPr>
        <w:t>Without questioning these preliminary conclusions, we believe that these two submissions, taken together, illustrate the difficulties of interpretation the Standard raises regarding the qualification of an MPM. The applicable process indeed often involves a series of successive assessments, each requiring the exercise of judgement and subject to divergent readings: qualification of the measure as a public communication, followed by consideration of whether the presumption in paragraph 119 may be rebutted, in particular in light of the notion of prominence.</w:t>
      </w:r>
    </w:p>
    <w:p w14:paraId="7D5E0940" w14:textId="77777777" w:rsidR="006F66E4" w:rsidRPr="0072568F" w:rsidRDefault="00C233F0">
      <w:pPr>
        <w:spacing w:after="200"/>
        <w:jc w:val="both"/>
        <w:rPr>
          <w:lang w:val="en-US"/>
        </w:rPr>
      </w:pPr>
      <w:r w:rsidRPr="0072568F">
        <w:rPr>
          <w:lang w:val="en-US"/>
        </w:rPr>
        <w:t>We are therefore concerned that areas of uncertainty remain that could create implementation difficulties in the short term, as IFRS 18 becomes effective.</w:t>
      </w:r>
    </w:p>
    <w:p w14:paraId="1B95DFD4" w14:textId="77777777" w:rsidR="006F66E4" w:rsidRPr="0072568F" w:rsidRDefault="00C233F0">
      <w:pPr>
        <w:spacing w:before="300" w:after="150"/>
        <w:rPr>
          <w:lang w:val="en-US"/>
        </w:rPr>
      </w:pPr>
      <w:r w:rsidRPr="0072568F">
        <w:rPr>
          <w:b/>
          <w:bCs/>
          <w:lang w:val="en-US"/>
        </w:rPr>
        <w:t>1. In practice, rebutting the presumption appears very limited</w:t>
      </w:r>
    </w:p>
    <w:p w14:paraId="5FB879FE" w14:textId="77777777" w:rsidR="006F66E4" w:rsidRPr="0072568F" w:rsidRDefault="00C233F0">
      <w:pPr>
        <w:spacing w:after="200"/>
        <w:jc w:val="both"/>
        <w:rPr>
          <w:lang w:val="en-US"/>
        </w:rPr>
      </w:pPr>
      <w:r w:rsidRPr="0072568F">
        <w:rPr>
          <w:lang w:val="en-US"/>
        </w:rPr>
        <w:t>Paragraph 119 introduces a rebuttable presumption, and the Basis for Conclusions describes circumstances in which a published measure does not convey management's view (BC350). The Basis for Conclusions even mention the cost of net debt as an example of a measure that could be rebutted when presented as supplementary information, without prominence and without internal monitoring (BC353–BC354).</w:t>
      </w:r>
    </w:p>
    <w:p w14:paraId="432CE508" w14:textId="77777777" w:rsidR="006F66E4" w:rsidRPr="0072568F" w:rsidRDefault="00C233F0">
      <w:pPr>
        <w:spacing w:after="200"/>
        <w:jc w:val="both"/>
        <w:rPr>
          <w:lang w:val="en-US"/>
        </w:rPr>
      </w:pPr>
      <w:r w:rsidRPr="0072568F">
        <w:rPr>
          <w:lang w:val="en-US"/>
        </w:rPr>
        <w:t>In practice, however, certain stakeholders consider that the prominence factors in paragraph B126 are met as soon as a group considers a measure sufficiently useful to publish and comment on it. The same applies to groups that publish this measure without even commenting on it. As a result, as soon as a measure is the subject of external communication, the possibility of rebutting the presumption appears difficult to apply in practice.</w:t>
      </w:r>
    </w:p>
    <w:p w14:paraId="2C5B42FE" w14:textId="4DC83A53" w:rsidR="006F66E4" w:rsidRPr="0072568F" w:rsidRDefault="00C233F0">
      <w:pPr>
        <w:spacing w:after="200"/>
        <w:jc w:val="both"/>
        <w:rPr>
          <w:lang w:val="en-US"/>
        </w:rPr>
      </w:pPr>
      <w:r w:rsidRPr="0072568F">
        <w:rPr>
          <w:lang w:val="en-US"/>
        </w:rPr>
        <w:t>This is notably the case for "cost of net debt." As it is typically used by groups in practice, it is commented on, which causes it to appear prominent and therefore non-rebuttable, even though it is precisely the example of a rebuttable measure retained in the Basis for Conclusions. In practice, the presumption fails because the Basis for Conclusions frames it as rebuttable only in a specific configuration: supplementary, uncommented, and not internally monitored (BC353–BC354)</w:t>
      </w:r>
      <w:r w:rsidR="007A1BAE">
        <w:rPr>
          <w:lang w:val="en-US"/>
        </w:rPr>
        <w:t xml:space="preserve">. </w:t>
      </w:r>
      <w:r w:rsidR="007A1BAE" w:rsidRPr="007A1BAE">
        <w:rPr>
          <w:lang w:val="en-US"/>
        </w:rPr>
        <w:t>This configuration rarely corresponds to how groups actually use such measures, since an externally published indicator is generally commented on, even briefly, and is also likely to be monitored internally, if only as part of internal control processes.</w:t>
      </w:r>
    </w:p>
    <w:p w14:paraId="4425D101" w14:textId="77777777" w:rsidR="006F66E4" w:rsidRPr="0072568F" w:rsidRDefault="00C233F0">
      <w:pPr>
        <w:spacing w:after="200"/>
        <w:jc w:val="both"/>
        <w:rPr>
          <w:lang w:val="en-US"/>
        </w:rPr>
      </w:pPr>
      <w:r w:rsidRPr="0072568F">
        <w:rPr>
          <w:lang w:val="en-US"/>
        </w:rPr>
        <w:t>We recognise the Board's effort to provide precision in the Basis for Conclusions. In practice, however, this precision has proven insufficient to give the rebuttable presumption real substance, for the reasons set out above.</w:t>
      </w:r>
    </w:p>
    <w:p w14:paraId="79CFFF2F" w14:textId="77777777" w:rsidR="006F66E4" w:rsidRPr="0072568F" w:rsidRDefault="00C233F0">
      <w:pPr>
        <w:spacing w:after="200"/>
        <w:jc w:val="both"/>
        <w:rPr>
          <w:lang w:val="en-US"/>
        </w:rPr>
      </w:pPr>
      <w:r w:rsidRPr="0072568F">
        <w:rPr>
          <w:lang w:val="en-US"/>
        </w:rPr>
        <w:t>We consider that the illustration given in paragraph BC353, where rebuttal depends on the combination of "numerous references" and accompanying management commentary, should not be read as satisfied by the mere presence of commentary alone. The extent of references (paragraph B126(a)) should be assessed as a genuine, independent condition, rather than being subsumed by the presence of commentary (paragraph B126(b)). In our experience, an isolated or infrequent reference to a subtotal, even where accompanied by some commentary, is treated in practice as sufficient to establish prominence, which we do not believe reflects the Board's intention as illustrated in paragraph BC353.</w:t>
      </w:r>
    </w:p>
    <w:p w14:paraId="3B7D9686" w14:textId="77777777" w:rsidR="006F66E4" w:rsidRPr="0072568F" w:rsidRDefault="00C233F0">
      <w:pPr>
        <w:spacing w:after="200"/>
        <w:jc w:val="both"/>
        <w:rPr>
          <w:lang w:val="en-US"/>
        </w:rPr>
      </w:pPr>
      <w:r w:rsidRPr="0072568F">
        <w:rPr>
          <w:lang w:val="en-US"/>
        </w:rPr>
        <w:lastRenderedPageBreak/>
        <w:t>Since these interpretative difficulties are the subject of recurring discussions between preparers and their auditors, adding to the implementation cost of the Standard, it would be very helpful if the Committee could provide a concrete illustration of the notion of "reasonable and supportable information" (paragraph 120, paragraphs B125–B129), so that the possibility to rebut the presumption has real substance in practice.</w:t>
      </w:r>
    </w:p>
    <w:p w14:paraId="5C04749C" w14:textId="77777777" w:rsidR="006F66E4" w:rsidRPr="0072568F" w:rsidRDefault="00C233F0">
      <w:pPr>
        <w:spacing w:before="300" w:after="150"/>
        <w:rPr>
          <w:lang w:val="en-US"/>
        </w:rPr>
      </w:pPr>
      <w:r w:rsidRPr="0072568F">
        <w:rPr>
          <w:b/>
          <w:bCs/>
          <w:lang w:val="en-US"/>
        </w:rPr>
        <w:t>2. Constant currency (or constant perimeter) measures</w:t>
      </w:r>
    </w:p>
    <w:p w14:paraId="31FA6E06" w14:textId="77777777" w:rsidR="006F66E4" w:rsidRPr="0072568F" w:rsidRDefault="00C233F0">
      <w:pPr>
        <w:spacing w:after="200"/>
        <w:jc w:val="both"/>
        <w:rPr>
          <w:lang w:val="en-US"/>
        </w:rPr>
      </w:pPr>
      <w:r w:rsidRPr="0072568F">
        <w:rPr>
          <w:lang w:val="en-US"/>
        </w:rPr>
        <w:t>Entities may publish constant currency (or constant perimeter) aggregates to explain the variation of their published indicators from one period to the next. By nature, these elements serve to analyse a variation; they do not, in themselves, constitute indicators of the entity's absolute performance for the period.</w:t>
      </w:r>
    </w:p>
    <w:p w14:paraId="6F5B9E7D" w14:textId="77777777" w:rsidR="006F66E4" w:rsidRPr="0072568F" w:rsidRDefault="00C233F0">
      <w:pPr>
        <w:spacing w:after="200"/>
        <w:jc w:val="both"/>
        <w:rPr>
          <w:lang w:val="en-US"/>
        </w:rPr>
      </w:pPr>
      <w:r w:rsidRPr="0072568F">
        <w:rPr>
          <w:lang w:val="en-US"/>
        </w:rPr>
        <w:t>Paragraph B126(b)(ii) may create confusion by suggesting that a subtotal used to analyse period-on-period variations in an indicator would itself be an MPM, on the basis that the prominence criterion is met. The question is to which aggregate prominence attaches: the indicator as a whole, or the indicator reconstructed to analyse its variations.</w:t>
      </w:r>
    </w:p>
    <w:p w14:paraId="28DC1819" w14:textId="77777777" w:rsidR="006F66E4" w:rsidRPr="0072568F" w:rsidRDefault="00C233F0">
      <w:pPr>
        <w:spacing w:after="200"/>
        <w:jc w:val="both"/>
        <w:rPr>
          <w:lang w:val="en-US"/>
        </w:rPr>
      </w:pPr>
      <w:r w:rsidRPr="0072568F">
        <w:rPr>
          <w:lang w:val="en-US"/>
        </w:rPr>
        <w:t>We believe this distinction needs to be clarified, as it directly determines whether the subtotal is qualified as an MPM or as a mere internal analytical tool made public.</w:t>
      </w:r>
    </w:p>
    <w:p w14:paraId="1E954622" w14:textId="77777777" w:rsidR="006F66E4" w:rsidRPr="0072568F" w:rsidRDefault="00C233F0">
      <w:pPr>
        <w:spacing w:before="300" w:after="150"/>
        <w:rPr>
          <w:lang w:val="en-US"/>
        </w:rPr>
      </w:pPr>
      <w:r w:rsidRPr="0072568F">
        <w:rPr>
          <w:b/>
          <w:bCs/>
          <w:lang w:val="en-US"/>
        </w:rPr>
        <w:t>3. Reconciliation of hypothetical results</w:t>
      </w:r>
    </w:p>
    <w:p w14:paraId="5FB05207" w14:textId="77777777" w:rsidR="006F66E4" w:rsidRPr="0072568F" w:rsidRDefault="00C233F0">
      <w:pPr>
        <w:spacing w:after="200"/>
        <w:jc w:val="both"/>
        <w:rPr>
          <w:lang w:val="en-US"/>
        </w:rPr>
      </w:pPr>
      <w:r w:rsidRPr="0072568F">
        <w:rPr>
          <w:lang w:val="en-US"/>
        </w:rPr>
        <w:t>Whether for the examples addressed in AP2 or for a constant-currency result, qualification as an MPM immediately raises the question of reconciling items, in particular tax effects and non-controlling interests.</w:t>
      </w:r>
    </w:p>
    <w:p w14:paraId="0A47C1EB" w14:textId="77777777" w:rsidR="006F66E4" w:rsidRPr="0072568F" w:rsidRDefault="00C233F0">
      <w:pPr>
        <w:spacing w:after="200"/>
        <w:jc w:val="both"/>
        <w:rPr>
          <w:lang w:val="en-US"/>
        </w:rPr>
      </w:pPr>
      <w:r w:rsidRPr="0072568F">
        <w:rPr>
          <w:lang w:val="en-US"/>
        </w:rPr>
        <w:t>We question the relevance of displaying tax effects on elements that are themselves hypothetical or lack independent economic substance. In such cases, the reconciliation may convey an impression of precision that does not necessarily reflect the underlying economic reality.</w:t>
      </w:r>
    </w:p>
    <w:p w14:paraId="7DE71302" w14:textId="77777777" w:rsidR="006F66E4" w:rsidRPr="0072568F" w:rsidRDefault="00C233F0">
      <w:pPr>
        <w:spacing w:after="200"/>
        <w:jc w:val="both"/>
        <w:rPr>
          <w:lang w:val="en-US"/>
        </w:rPr>
      </w:pPr>
      <w:r w:rsidRPr="0072568F">
        <w:rPr>
          <w:lang w:val="en-US"/>
        </w:rPr>
        <w:t>These reconciliation difficulties could lead some issuers to stop publishing these indicators altogether, leaving users to reconstruct them on their own. Such a development would, in our view, represent a step backward in the quality of financial information, contrary to the objective pursued by IFRS 18.</w:t>
      </w:r>
    </w:p>
    <w:p w14:paraId="24D12E3C" w14:textId="77777777" w:rsidR="006F66E4" w:rsidRPr="0072568F" w:rsidRDefault="006F66E4">
      <w:pPr>
        <w:spacing w:after="200"/>
        <w:rPr>
          <w:lang w:val="en-US"/>
        </w:rPr>
      </w:pPr>
    </w:p>
    <w:p w14:paraId="07E78D0A" w14:textId="77777777" w:rsidR="006F66E4" w:rsidRPr="0072568F" w:rsidRDefault="00C233F0">
      <w:pPr>
        <w:spacing w:after="300"/>
        <w:rPr>
          <w:lang w:val="en-US"/>
        </w:rPr>
      </w:pPr>
      <w:r w:rsidRPr="0072568F">
        <w:rPr>
          <w:lang w:val="en-US"/>
        </w:rPr>
        <w:t>Should you wish to discuss our comments further, please do not hesitate to contact us.</w:t>
      </w:r>
    </w:p>
    <w:p w14:paraId="591A78EC" w14:textId="77777777" w:rsidR="006F66E4" w:rsidRPr="008A7199" w:rsidRDefault="00C233F0">
      <w:pPr>
        <w:spacing w:after="300"/>
        <w:rPr>
          <w:lang w:val="en-GB"/>
        </w:rPr>
      </w:pPr>
      <w:r w:rsidRPr="008A7199">
        <w:rPr>
          <w:lang w:val="en-GB"/>
        </w:rPr>
        <w:t>Yours sincerely,</w:t>
      </w:r>
    </w:p>
    <w:p w14:paraId="679DC9BA" w14:textId="77777777" w:rsidR="006F66E4" w:rsidRDefault="00C233F0">
      <w:r>
        <w:rPr>
          <w:noProof/>
        </w:rPr>
        <w:drawing>
          <wp:inline distT="0" distB="0" distL="0" distR="0" wp14:anchorId="02A9E177" wp14:editId="4A3B53CB">
            <wp:extent cx="4343400" cy="1457325"/>
            <wp:effectExtent l="0" t="0" r="0" b="0"/>
            <wp:docPr id="1459746585" name="Image 1459746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4343400" cy="1457325"/>
                    </a:xfrm>
                    <a:prstGeom prst="rect">
                      <a:avLst/>
                    </a:prstGeom>
                  </pic:spPr>
                </pic:pic>
              </a:graphicData>
            </a:graphic>
          </wp:inline>
        </w:drawing>
      </w:r>
    </w:p>
    <w:sectPr w:rsidR="006F66E4">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8011A1"/>
    <w:multiLevelType w:val="hybridMultilevel"/>
    <w:tmpl w:val="EE80558A"/>
    <w:lvl w:ilvl="0" w:tplc="1B74AD26">
      <w:start w:val="1"/>
      <w:numFmt w:val="bullet"/>
      <w:lvlText w:val="●"/>
      <w:lvlJc w:val="left"/>
      <w:pPr>
        <w:ind w:left="720" w:hanging="360"/>
      </w:pPr>
    </w:lvl>
    <w:lvl w:ilvl="1" w:tplc="0A3E3FEE">
      <w:start w:val="1"/>
      <w:numFmt w:val="bullet"/>
      <w:lvlText w:val="○"/>
      <w:lvlJc w:val="left"/>
      <w:pPr>
        <w:ind w:left="1440" w:hanging="360"/>
      </w:pPr>
    </w:lvl>
    <w:lvl w:ilvl="2" w:tplc="FFD2BE9E">
      <w:start w:val="1"/>
      <w:numFmt w:val="bullet"/>
      <w:lvlText w:val="■"/>
      <w:lvlJc w:val="left"/>
      <w:pPr>
        <w:ind w:left="2160" w:hanging="360"/>
      </w:pPr>
    </w:lvl>
    <w:lvl w:ilvl="3" w:tplc="3A58B3D8">
      <w:start w:val="1"/>
      <w:numFmt w:val="bullet"/>
      <w:lvlText w:val="●"/>
      <w:lvlJc w:val="left"/>
      <w:pPr>
        <w:ind w:left="2880" w:hanging="360"/>
      </w:pPr>
    </w:lvl>
    <w:lvl w:ilvl="4" w:tplc="1B946DCA">
      <w:start w:val="1"/>
      <w:numFmt w:val="bullet"/>
      <w:lvlText w:val="○"/>
      <w:lvlJc w:val="left"/>
      <w:pPr>
        <w:ind w:left="3600" w:hanging="360"/>
      </w:pPr>
    </w:lvl>
    <w:lvl w:ilvl="5" w:tplc="42D41A9A">
      <w:start w:val="1"/>
      <w:numFmt w:val="bullet"/>
      <w:lvlText w:val="■"/>
      <w:lvlJc w:val="left"/>
      <w:pPr>
        <w:ind w:left="4320" w:hanging="360"/>
      </w:pPr>
    </w:lvl>
    <w:lvl w:ilvl="6" w:tplc="EF16B612">
      <w:start w:val="1"/>
      <w:numFmt w:val="bullet"/>
      <w:lvlText w:val="●"/>
      <w:lvlJc w:val="left"/>
      <w:pPr>
        <w:ind w:left="5040" w:hanging="360"/>
      </w:pPr>
    </w:lvl>
    <w:lvl w:ilvl="7" w:tplc="407ADDA2">
      <w:start w:val="1"/>
      <w:numFmt w:val="bullet"/>
      <w:lvlText w:val="●"/>
      <w:lvlJc w:val="left"/>
      <w:pPr>
        <w:ind w:left="5760" w:hanging="360"/>
      </w:pPr>
    </w:lvl>
    <w:lvl w:ilvl="8" w:tplc="2EDABFB4">
      <w:start w:val="1"/>
      <w:numFmt w:val="bullet"/>
      <w:lvlText w:val="●"/>
      <w:lvlJc w:val="left"/>
      <w:pPr>
        <w:ind w:left="6480" w:hanging="360"/>
      </w:pPr>
    </w:lvl>
  </w:abstractNum>
  <w:num w:numId="1" w16cid:durableId="14276512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6E4"/>
    <w:rsid w:val="006F66E4"/>
    <w:rsid w:val="0072568F"/>
    <w:rsid w:val="007A1BAE"/>
    <w:rsid w:val="008A7199"/>
    <w:rsid w:val="009A373F"/>
    <w:rsid w:val="00B00746"/>
    <w:rsid w:val="00B273E0"/>
    <w:rsid w:val="00C233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33046"/>
  <w15:docId w15:val="{F216DAC4-03FC-4B05-A9EB-DBF8128E3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949</Words>
  <Characters>5223</Characters>
  <Application>Microsoft Office Word</Application>
  <DocSecurity>0</DocSecurity>
  <Lines>43</Lines>
  <Paragraphs>12</Paragraphs>
  <ScaleCrop>false</ScaleCrop>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LC</cp:lastModifiedBy>
  <cp:revision>5</cp:revision>
  <dcterms:created xsi:type="dcterms:W3CDTF">2026-07-30T15:48:00Z</dcterms:created>
  <dcterms:modified xsi:type="dcterms:W3CDTF">2026-08-03T06:43:00Z</dcterms:modified>
</cp:coreProperties>
</file>