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830" w:type="dxa"/>
        <w:tblCellMar>
          <w:left w:w="70" w:type="dxa"/>
          <w:right w:w="70" w:type="dxa"/>
        </w:tblCellMar>
        <w:tblLook w:val="0000" w:firstRow="0" w:lastRow="0" w:firstColumn="0" w:lastColumn="0" w:noHBand="0" w:noVBand="0"/>
      </w:tblPr>
      <w:tblGrid>
        <w:gridCol w:w="6611"/>
        <w:gridCol w:w="4009"/>
      </w:tblGrid>
      <w:tr w:rsidR="00A5720B" w:rsidRPr="00D07343" w:rsidTr="00A85F06">
        <w:tc>
          <w:tcPr>
            <w:tcW w:w="6611" w:type="dxa"/>
          </w:tcPr>
          <w:tbl>
            <w:tblPr>
              <w:tblW w:w="0" w:type="auto"/>
              <w:tblLook w:val="01E0" w:firstRow="1" w:lastRow="1" w:firstColumn="1" w:lastColumn="1" w:noHBand="0" w:noVBand="0"/>
            </w:tblPr>
            <w:tblGrid>
              <w:gridCol w:w="6471"/>
            </w:tblGrid>
            <w:tr w:rsidR="00A5720B" w:rsidRPr="00D07343" w:rsidTr="00A85F06">
              <w:tc>
                <w:tcPr>
                  <w:tcW w:w="6471" w:type="dxa"/>
                  <w:tcBorders>
                    <w:top w:val="nil"/>
                    <w:left w:val="nil"/>
                    <w:bottom w:val="nil"/>
                    <w:right w:val="nil"/>
                  </w:tcBorders>
                </w:tcPr>
                <w:p w:rsidR="00A5720B" w:rsidRPr="00D07343" w:rsidRDefault="00A5720B" w:rsidP="00A85F06">
                  <w:pPr>
                    <w:spacing w:before="120"/>
                    <w:rPr>
                      <w:noProof/>
                      <w:szCs w:val="22"/>
                    </w:rPr>
                  </w:pPr>
                  <w:bookmarkStart w:id="0" w:name="_GoBack"/>
                  <w:bookmarkEnd w:id="0"/>
                  <w:r>
                    <w:rPr>
                      <w:noProof/>
                      <w:lang w:val="fr-FR" w:eastAsia="fr-FR"/>
                    </w:rPr>
                    <w:drawing>
                      <wp:inline distT="0" distB="0" distL="0" distR="0">
                        <wp:extent cx="3615055" cy="680720"/>
                        <wp:effectExtent l="0" t="0" r="0" b="0"/>
                        <wp:docPr id="3" name="Image 3" descr="Logo Act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5055" cy="680720"/>
                                </a:xfrm>
                                <a:prstGeom prst="rect">
                                  <a:avLst/>
                                </a:prstGeom>
                                <a:noFill/>
                                <a:ln>
                                  <a:noFill/>
                                </a:ln>
                              </pic:spPr>
                            </pic:pic>
                          </a:graphicData>
                        </a:graphic>
                      </wp:inline>
                    </w:drawing>
                  </w:r>
                </w:p>
              </w:tc>
            </w:tr>
          </w:tbl>
          <w:p w:rsidR="00A5720B" w:rsidRPr="00D07343" w:rsidRDefault="00A5720B" w:rsidP="00A85F06">
            <w:pPr>
              <w:spacing w:before="120"/>
              <w:rPr>
                <w:noProof/>
                <w:szCs w:val="22"/>
              </w:rPr>
            </w:pPr>
          </w:p>
        </w:tc>
        <w:tc>
          <w:tcPr>
            <w:tcW w:w="4009" w:type="dxa"/>
          </w:tcPr>
          <w:p w:rsidR="00A5720B" w:rsidRPr="00D07343" w:rsidRDefault="00A5720B" w:rsidP="00A85F06">
            <w:pPr>
              <w:spacing w:before="120"/>
              <w:rPr>
                <w:noProof/>
              </w:rPr>
            </w:pPr>
            <w:r>
              <w:rPr>
                <w:noProof/>
                <w:lang w:val="fr-FR" w:eastAsia="fr-FR"/>
              </w:rPr>
              <w:drawing>
                <wp:inline distT="0" distB="0" distL="0" distR="0">
                  <wp:extent cx="1807845" cy="103124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845" cy="1031240"/>
                          </a:xfrm>
                          <a:prstGeom prst="rect">
                            <a:avLst/>
                          </a:prstGeom>
                          <a:noFill/>
                          <a:ln>
                            <a:noFill/>
                          </a:ln>
                        </pic:spPr>
                      </pic:pic>
                    </a:graphicData>
                  </a:graphic>
                </wp:inline>
              </w:drawing>
            </w:r>
          </w:p>
        </w:tc>
      </w:tr>
      <w:tr w:rsidR="00A5720B" w:rsidRPr="00D07343" w:rsidTr="00A85F06">
        <w:tc>
          <w:tcPr>
            <w:tcW w:w="10620" w:type="dxa"/>
            <w:gridSpan w:val="2"/>
          </w:tcPr>
          <w:p w:rsidR="00A5720B" w:rsidRPr="00D07343" w:rsidRDefault="00A5720B" w:rsidP="00A85F06">
            <w:pPr>
              <w:spacing w:before="120"/>
              <w:jc w:val="center"/>
              <w:rPr>
                <w:noProof/>
              </w:rPr>
            </w:pPr>
            <w:r>
              <w:rPr>
                <w:noProof/>
                <w:lang w:val="fr-FR" w:eastAsia="fr-FR"/>
              </w:rPr>
              <w:drawing>
                <wp:inline distT="0" distB="0" distL="0" distR="0">
                  <wp:extent cx="2976880" cy="75501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6880" cy="755015"/>
                          </a:xfrm>
                          <a:prstGeom prst="rect">
                            <a:avLst/>
                          </a:prstGeom>
                          <a:noFill/>
                          <a:ln>
                            <a:noFill/>
                          </a:ln>
                        </pic:spPr>
                      </pic:pic>
                    </a:graphicData>
                  </a:graphic>
                </wp:inline>
              </w:drawing>
            </w:r>
          </w:p>
        </w:tc>
      </w:tr>
    </w:tbl>
    <w:p w:rsidR="00A5720B" w:rsidRDefault="00A5720B" w:rsidP="00A5720B">
      <w:pPr>
        <w:tabs>
          <w:tab w:val="left" w:pos="5040"/>
        </w:tabs>
        <w:ind w:left="5523"/>
        <w:jc w:val="center"/>
      </w:pPr>
    </w:p>
    <w:p w:rsidR="00A5720B" w:rsidRPr="003B1E8A" w:rsidRDefault="00A5720B" w:rsidP="00A5720B">
      <w:pPr>
        <w:tabs>
          <w:tab w:val="left" w:pos="5040"/>
        </w:tabs>
        <w:ind w:left="5520"/>
      </w:pPr>
      <w:r>
        <w:t>IASB</w:t>
      </w:r>
    </w:p>
    <w:p w:rsidR="00A5720B" w:rsidRPr="003B1E8A" w:rsidRDefault="00A5720B" w:rsidP="00A5720B">
      <w:pPr>
        <w:tabs>
          <w:tab w:val="left" w:pos="5040"/>
        </w:tabs>
        <w:ind w:left="5520"/>
      </w:pPr>
      <w:smartTag w:uri="urn:schemas-microsoft-com:office:smarttags" w:element="Street">
        <w:smartTag w:uri="urn:schemas-microsoft-com:office:smarttags" w:element="address">
          <w:r w:rsidRPr="003B1E8A">
            <w:t>30 Cannon Street</w:t>
          </w:r>
        </w:smartTag>
      </w:smartTag>
      <w:r w:rsidRPr="003B1E8A">
        <w:tab/>
      </w:r>
    </w:p>
    <w:p w:rsidR="00A5720B" w:rsidRPr="003B1E8A" w:rsidRDefault="00A5720B" w:rsidP="00A5720B">
      <w:pPr>
        <w:tabs>
          <w:tab w:val="left" w:pos="5040"/>
        </w:tabs>
        <w:ind w:left="5520"/>
      </w:pPr>
      <w:smartTag w:uri="urn:schemas-microsoft-com:office:smarttags" w:element="place">
        <w:smartTag w:uri="urn:schemas-microsoft-com:office:smarttags" w:element="City">
          <w:r w:rsidRPr="003B1E8A">
            <w:t>London</w:t>
          </w:r>
        </w:smartTag>
      </w:smartTag>
      <w:r w:rsidRPr="003B1E8A">
        <w:t xml:space="preserve"> EC4M 6XH</w:t>
      </w:r>
    </w:p>
    <w:p w:rsidR="00A5720B" w:rsidRDefault="00A5720B" w:rsidP="00A5720B">
      <w:pPr>
        <w:tabs>
          <w:tab w:val="left" w:pos="5040"/>
        </w:tabs>
        <w:ind w:left="5520"/>
      </w:pPr>
      <w:smartTag w:uri="urn:schemas-microsoft-com:office:smarttags" w:element="place">
        <w:smartTag w:uri="urn:schemas-microsoft-com:office:smarttags" w:element="country-region">
          <w:r w:rsidRPr="003B1E8A">
            <w:t>UK</w:t>
          </w:r>
        </w:smartTag>
      </w:smartTag>
    </w:p>
    <w:p w:rsidR="00A5720B" w:rsidRDefault="00A5720B" w:rsidP="00A5720B">
      <w:pPr>
        <w:tabs>
          <w:tab w:val="left" w:pos="5040"/>
        </w:tabs>
        <w:ind w:left="5520"/>
      </w:pPr>
    </w:p>
    <w:p w:rsidR="00A5720B" w:rsidRPr="003B1E8A" w:rsidRDefault="00A5720B" w:rsidP="00A5720B">
      <w:pPr>
        <w:tabs>
          <w:tab w:val="left" w:pos="5040"/>
        </w:tabs>
        <w:ind w:left="5520"/>
      </w:pPr>
      <w:r>
        <w:t>Paris, November 16, 2012</w:t>
      </w:r>
    </w:p>
    <w:p w:rsidR="00A5720B" w:rsidRDefault="00A5720B" w:rsidP="00A5720B">
      <w:pPr>
        <w:pStyle w:val="Corpsdetexte"/>
        <w:tabs>
          <w:tab w:val="left" w:pos="450"/>
        </w:tabs>
        <w:spacing w:before="240"/>
        <w:ind w:left="450" w:hanging="450"/>
        <w:rPr>
          <w:lang w:val="en-GB"/>
        </w:rPr>
      </w:pPr>
    </w:p>
    <w:p w:rsidR="00456143" w:rsidRPr="00A90391" w:rsidRDefault="00A90391" w:rsidP="00A90391">
      <w:pPr>
        <w:pStyle w:val="Corpsdetexte"/>
        <w:tabs>
          <w:tab w:val="left" w:pos="450"/>
        </w:tabs>
        <w:spacing w:before="240"/>
        <w:ind w:left="450" w:hanging="450"/>
        <w:rPr>
          <w:b/>
          <w:i/>
          <w:lang w:val="en-GB"/>
        </w:rPr>
      </w:pPr>
      <w:r>
        <w:rPr>
          <w:b/>
          <w:i/>
          <w:lang w:val="en-GB"/>
        </w:rPr>
        <w:t xml:space="preserve">RE : </w:t>
      </w:r>
      <w:r w:rsidR="00456143" w:rsidRPr="00A90391">
        <w:rPr>
          <w:b/>
          <w:i/>
          <w:lang w:val="en-GB"/>
        </w:rPr>
        <w:t>Post-implementation Review: IFRS 8 Operating Segments</w:t>
      </w:r>
    </w:p>
    <w:p w:rsidR="00456143" w:rsidRPr="00456143" w:rsidRDefault="00456143" w:rsidP="00456143">
      <w:pPr>
        <w:rPr>
          <w:b/>
        </w:rPr>
      </w:pPr>
    </w:p>
    <w:p w:rsidR="00456143" w:rsidRDefault="00456143" w:rsidP="000C65FB">
      <w:pPr>
        <w:jc w:val="both"/>
      </w:pPr>
      <w:r>
        <w:t>We are pleased to respond to your request for information (RFI) about our experience in implementing and using IFRS 8 Operating Segments. ACTEO, AFEP and MEDEF a</w:t>
      </w:r>
      <w:r w:rsidR="00C3168D">
        <w:t xml:space="preserve">re </w:t>
      </w:r>
      <w:r w:rsidR="00433ECB">
        <w:t xml:space="preserve">French </w:t>
      </w:r>
      <w:r w:rsidR="00C3168D">
        <w:t>organisations whose members are companies of widely diverse size and area of activity. For the purposes of the RFI o</w:t>
      </w:r>
      <w:r>
        <w:t xml:space="preserve">ur comments reflect the experience of our </w:t>
      </w:r>
      <w:r w:rsidR="00C3168D">
        <w:t xml:space="preserve">listed </w:t>
      </w:r>
      <w:r>
        <w:t xml:space="preserve">member-companies </w:t>
      </w:r>
      <w:r w:rsidR="009653DF">
        <w:t>as preparers of reporting under IFRS 8.</w:t>
      </w:r>
    </w:p>
    <w:p w:rsidR="009653DF" w:rsidRPr="008C75C2" w:rsidRDefault="009653DF" w:rsidP="000C65FB">
      <w:pPr>
        <w:autoSpaceDE w:val="0"/>
        <w:autoSpaceDN w:val="0"/>
        <w:adjustRightInd w:val="0"/>
        <w:jc w:val="both"/>
      </w:pPr>
    </w:p>
    <w:p w:rsidR="00C3168D" w:rsidRDefault="008C75C2" w:rsidP="000C65FB">
      <w:pPr>
        <w:autoSpaceDE w:val="0"/>
        <w:autoSpaceDN w:val="0"/>
        <w:adjustRightInd w:val="0"/>
        <w:jc w:val="both"/>
      </w:pPr>
      <w:r>
        <w:t>The general view of our members is that IFRS 8 has been a successful standard, primarily as a result of its focus on the management perspective of the business.  This has</w:t>
      </w:r>
      <w:r w:rsidR="004D0E3D">
        <w:t>,</w:t>
      </w:r>
      <w:r>
        <w:t xml:space="preserve"> our members </w:t>
      </w:r>
      <w:r w:rsidR="00701B46">
        <w:t xml:space="preserve">have </w:t>
      </w:r>
      <w:r w:rsidR="009F05E7">
        <w:t>observed</w:t>
      </w:r>
      <w:r>
        <w:t>,</w:t>
      </w:r>
      <w:r w:rsidR="004D0E3D">
        <w:t xml:space="preserve"> generally</w:t>
      </w:r>
      <w:r>
        <w:t xml:space="preserve"> facilitated and enhanced communication between the management and investors. </w:t>
      </w:r>
      <w:r w:rsidR="00C3168D" w:rsidRPr="008C75C2">
        <w:t xml:space="preserve"> </w:t>
      </w:r>
    </w:p>
    <w:p w:rsidR="007251B4" w:rsidRDefault="007251B4" w:rsidP="000C65FB">
      <w:pPr>
        <w:autoSpaceDE w:val="0"/>
        <w:autoSpaceDN w:val="0"/>
        <w:adjustRightInd w:val="0"/>
        <w:jc w:val="both"/>
      </w:pPr>
    </w:p>
    <w:p w:rsidR="007251B4" w:rsidRDefault="007251B4" w:rsidP="000C65FB">
      <w:pPr>
        <w:autoSpaceDE w:val="0"/>
        <w:autoSpaceDN w:val="0"/>
        <w:adjustRightInd w:val="0"/>
        <w:jc w:val="both"/>
      </w:pPr>
      <w:r>
        <w:t>We are aware of some perceived problems with the standard which have been raised by users, such as,</w:t>
      </w:r>
      <w:r w:rsidR="0045641D">
        <w:t xml:space="preserve"> </w:t>
      </w:r>
      <w:r>
        <w:t xml:space="preserve">for example, difficulties in understanding what comprises a segment, difficulties in understanding reconciliations between the reported results of segments and the consolidated results and difficulties encountered in comparing </w:t>
      </w:r>
      <w:r w:rsidR="0045641D">
        <w:t xml:space="preserve">the </w:t>
      </w:r>
      <w:r>
        <w:t>results of different entities.</w:t>
      </w:r>
      <w:r w:rsidR="0045641D">
        <w:t xml:space="preserve">  Our members acknowledge some of these, but believe that such problems are caused by the application of the standard by individual entities rather than an indication of a serious flaw in the standard itself.</w:t>
      </w:r>
      <w:r w:rsidR="0045641D" w:rsidRPr="0045641D">
        <w:t xml:space="preserve"> </w:t>
      </w:r>
      <w:r w:rsidR="0045641D">
        <w:t xml:space="preserve">A further potential cause of confusion is the use of full IFRS for the entity-wide disclosures, </w:t>
      </w:r>
      <w:r w:rsidR="00701B46">
        <w:t>whereas</w:t>
      </w:r>
      <w:r w:rsidR="0045641D">
        <w:t xml:space="preserve"> the segment presentation</w:t>
      </w:r>
      <w:r w:rsidR="00701B46">
        <w:t xml:space="preserve"> uses the measurement approach corresponding to the management view</w:t>
      </w:r>
      <w:r w:rsidR="0045641D">
        <w:t>.</w:t>
      </w:r>
      <w:r w:rsidR="00701B46">
        <w:t xml:space="preserve">  To avoid this potential confusion, we think that the management view should be used for both in conjunction with appropriate reconciliation to full IFRS.</w:t>
      </w:r>
    </w:p>
    <w:p w:rsidR="0045641D" w:rsidRDefault="0045641D" w:rsidP="000C65FB">
      <w:pPr>
        <w:autoSpaceDE w:val="0"/>
        <w:autoSpaceDN w:val="0"/>
        <w:adjustRightInd w:val="0"/>
        <w:jc w:val="both"/>
      </w:pPr>
    </w:p>
    <w:p w:rsidR="0045641D" w:rsidRDefault="0045641D" w:rsidP="000C65FB">
      <w:pPr>
        <w:autoSpaceDE w:val="0"/>
        <w:autoSpaceDN w:val="0"/>
        <w:adjustRightInd w:val="0"/>
        <w:jc w:val="both"/>
      </w:pPr>
      <w:r>
        <w:t>Our verdict on IFRS 8 is that it is a good standard which is need of little amendment, other than a reconsideration of the basis used for the entity-wide</w:t>
      </w:r>
      <w:r w:rsidR="009F05E7">
        <w:t xml:space="preserve"> disclosures and </w:t>
      </w:r>
      <w:r w:rsidR="003E771F">
        <w:t>perhaps some reflection on</w:t>
      </w:r>
      <w:r w:rsidR="009F05E7">
        <w:t xml:space="preserve"> the </w:t>
      </w:r>
      <w:r w:rsidR="003E771F">
        <w:t>format of the</w:t>
      </w:r>
      <w:r w:rsidR="009F05E7">
        <w:t xml:space="preserve"> reconciliation between segment disclosures and global IFRS data</w:t>
      </w:r>
      <w:r>
        <w:t>.</w:t>
      </w:r>
    </w:p>
    <w:p w:rsidR="004D0E3D" w:rsidRPr="008C75C2" w:rsidRDefault="004D0E3D" w:rsidP="000C65FB">
      <w:pPr>
        <w:autoSpaceDE w:val="0"/>
        <w:autoSpaceDN w:val="0"/>
        <w:adjustRightInd w:val="0"/>
        <w:jc w:val="both"/>
      </w:pPr>
      <w:r>
        <w:lastRenderedPageBreak/>
        <w:t xml:space="preserve">Below we provide </w:t>
      </w:r>
      <w:r w:rsidR="007251B4">
        <w:t>responses to the individual questions set out in the RFI</w:t>
      </w:r>
      <w:r w:rsidR="00917962" w:rsidRPr="00917962">
        <w:t>, although we have grouped some responses in order to avoid redundancy.</w:t>
      </w:r>
    </w:p>
    <w:p w:rsidR="009653DF" w:rsidRDefault="009653DF" w:rsidP="000C65FB">
      <w:pPr>
        <w:autoSpaceDE w:val="0"/>
        <w:autoSpaceDN w:val="0"/>
        <w:adjustRightInd w:val="0"/>
        <w:jc w:val="both"/>
        <w:rPr>
          <w:rFonts w:ascii="HelveticaLTStd-Bold" w:hAnsi="HelveticaLTStd-Bold" w:cs="HelveticaLTStd-Bold"/>
          <w:b/>
          <w:bCs/>
          <w:sz w:val="17"/>
          <w:szCs w:val="17"/>
          <w:lang w:eastAsia="en-US"/>
        </w:rPr>
      </w:pPr>
    </w:p>
    <w:p w:rsidR="006647FF" w:rsidRDefault="006647FF" w:rsidP="006647FF">
      <w:pPr>
        <w:spacing w:before="240"/>
        <w:jc w:val="both"/>
      </w:pPr>
      <w:r>
        <w:t>Should you wish any supplementary comment or explanation, please do not hesitate to contact us.</w:t>
      </w:r>
    </w:p>
    <w:p w:rsidR="006647FF" w:rsidRDefault="006647FF" w:rsidP="000C65FB">
      <w:pPr>
        <w:autoSpaceDE w:val="0"/>
        <w:autoSpaceDN w:val="0"/>
        <w:adjustRightInd w:val="0"/>
        <w:jc w:val="both"/>
        <w:rPr>
          <w:rFonts w:ascii="HelveticaLTStd-Bold" w:hAnsi="HelveticaLTStd-Bold" w:cs="HelveticaLTStd-Bold"/>
          <w:b/>
          <w:bCs/>
          <w:sz w:val="17"/>
          <w:szCs w:val="17"/>
          <w:lang w:eastAsia="en-US"/>
        </w:rPr>
      </w:pPr>
    </w:p>
    <w:p w:rsidR="00AE4878" w:rsidRDefault="00AE4878" w:rsidP="00AE4878">
      <w:pPr>
        <w:spacing w:before="120"/>
        <w:ind w:left="-720"/>
        <w:jc w:val="center"/>
      </w:pPr>
      <w:bookmarkStart w:id="1" w:name="OLE_LINK6"/>
      <w:bookmarkStart w:id="2" w:name="OLE_LINK7"/>
      <w:bookmarkStart w:id="3" w:name="OLE_LINK8"/>
      <w:bookmarkStart w:id="4" w:name="OLE_LINK9"/>
      <w:bookmarkStart w:id="5" w:name="OLE_LINK4"/>
      <w:bookmarkStart w:id="6" w:name="OLE_LINK5"/>
      <w:r>
        <w:rPr>
          <w:noProof/>
          <w:lang w:val="fr-FR" w:eastAsia="fr-FR"/>
        </w:rPr>
        <w:drawing>
          <wp:inline distT="0" distB="0" distL="0" distR="0" wp14:anchorId="4C514DE3" wp14:editId="6625DB20">
            <wp:extent cx="6570980" cy="1658620"/>
            <wp:effectExtent l="0" t="0" r="127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0980" cy="1658620"/>
                    </a:xfrm>
                    <a:prstGeom prst="rect">
                      <a:avLst/>
                    </a:prstGeom>
                    <a:noFill/>
                    <a:ln>
                      <a:noFill/>
                    </a:ln>
                  </pic:spPr>
                </pic:pic>
              </a:graphicData>
            </a:graphic>
          </wp:inline>
        </w:drawing>
      </w:r>
    </w:p>
    <w:tbl>
      <w:tblPr>
        <w:tblW w:w="10620" w:type="dxa"/>
        <w:tblInd w:w="-972" w:type="dxa"/>
        <w:tblLook w:val="01E0" w:firstRow="1" w:lastRow="1" w:firstColumn="1" w:lastColumn="1" w:noHBand="0" w:noVBand="0"/>
      </w:tblPr>
      <w:tblGrid>
        <w:gridCol w:w="3545"/>
        <w:gridCol w:w="3555"/>
        <w:gridCol w:w="3520"/>
      </w:tblGrid>
      <w:tr w:rsidR="00AE4878" w:rsidTr="00F65EB6">
        <w:tc>
          <w:tcPr>
            <w:tcW w:w="3545" w:type="dxa"/>
          </w:tcPr>
          <w:bookmarkEnd w:id="1"/>
          <w:bookmarkEnd w:id="2"/>
          <w:bookmarkEnd w:id="3"/>
          <w:bookmarkEnd w:id="4"/>
          <w:p w:rsidR="00AE4878" w:rsidRDefault="00AE4878" w:rsidP="00F65EB6">
            <w:pPr>
              <w:spacing w:before="120" w:after="120"/>
              <w:jc w:val="center"/>
              <w:rPr>
                <w:lang w:val="en-US"/>
              </w:rPr>
            </w:pPr>
            <w:r>
              <w:rPr>
                <w:lang w:val="en-US"/>
              </w:rPr>
              <w:t>ACTEO</w:t>
            </w:r>
          </w:p>
          <w:p w:rsidR="00AE4878" w:rsidRDefault="00AE4878" w:rsidP="00F65EB6">
            <w:pPr>
              <w:spacing w:before="120" w:after="120"/>
              <w:jc w:val="center"/>
              <w:rPr>
                <w:rFonts w:eastAsia="MS Mincho"/>
                <w:lang w:eastAsia="ja-JP"/>
              </w:rPr>
            </w:pPr>
          </w:p>
        </w:tc>
        <w:tc>
          <w:tcPr>
            <w:tcW w:w="3555" w:type="dxa"/>
          </w:tcPr>
          <w:p w:rsidR="00AE4878" w:rsidRDefault="00AE4878" w:rsidP="00F65EB6">
            <w:pPr>
              <w:spacing w:before="120" w:after="120"/>
              <w:jc w:val="center"/>
            </w:pPr>
            <w:r>
              <w:t>AFEP</w:t>
            </w:r>
          </w:p>
          <w:p w:rsidR="00AE4878" w:rsidRDefault="00AE4878" w:rsidP="00F65EB6">
            <w:pPr>
              <w:spacing w:before="120" w:after="120"/>
              <w:jc w:val="center"/>
              <w:rPr>
                <w:rFonts w:eastAsia="MS Mincho"/>
                <w:lang w:eastAsia="ja-JP"/>
              </w:rPr>
            </w:pPr>
          </w:p>
        </w:tc>
        <w:tc>
          <w:tcPr>
            <w:tcW w:w="3520" w:type="dxa"/>
          </w:tcPr>
          <w:p w:rsidR="00AE4878" w:rsidRDefault="00AE4878" w:rsidP="00F65EB6">
            <w:pPr>
              <w:spacing w:before="120" w:after="120"/>
              <w:jc w:val="center"/>
              <w:rPr>
                <w:rFonts w:eastAsia="MS Mincho"/>
                <w:lang w:eastAsia="ja-JP"/>
              </w:rPr>
            </w:pPr>
            <w:r>
              <w:rPr>
                <w:lang w:val="en-US"/>
              </w:rPr>
              <w:t>MEDEF</w:t>
            </w:r>
          </w:p>
        </w:tc>
      </w:tr>
      <w:bookmarkEnd w:id="5"/>
      <w:bookmarkEnd w:id="6"/>
    </w:tbl>
    <w:p w:rsidR="000C5FE4" w:rsidRDefault="000C5FE4" w:rsidP="000C65FB">
      <w:pPr>
        <w:autoSpaceDE w:val="0"/>
        <w:autoSpaceDN w:val="0"/>
        <w:adjustRightInd w:val="0"/>
        <w:jc w:val="both"/>
        <w:rPr>
          <w:rFonts w:ascii="HelveticaLTStd-Bold" w:hAnsi="HelveticaLTStd-Bold" w:cs="HelveticaLTStd-Bold"/>
          <w:b/>
          <w:bCs/>
          <w:sz w:val="17"/>
          <w:szCs w:val="17"/>
          <w:lang w:eastAsia="en-US"/>
        </w:rPr>
      </w:pPr>
    </w:p>
    <w:p w:rsidR="000C5FE4" w:rsidRDefault="000C5FE4">
      <w:pPr>
        <w:spacing w:after="200" w:line="276" w:lineRule="auto"/>
        <w:rPr>
          <w:rFonts w:ascii="HelveticaLTStd-Bold" w:hAnsi="HelveticaLTStd-Bold" w:cs="HelveticaLTStd-Bold"/>
          <w:b/>
          <w:bCs/>
          <w:sz w:val="17"/>
          <w:szCs w:val="17"/>
          <w:lang w:eastAsia="en-US"/>
        </w:rPr>
      </w:pPr>
      <w:r>
        <w:rPr>
          <w:rFonts w:ascii="HelveticaLTStd-Bold" w:hAnsi="HelveticaLTStd-Bold" w:cs="HelveticaLTStd-Bold"/>
          <w:b/>
          <w:bCs/>
          <w:sz w:val="17"/>
          <w:szCs w:val="17"/>
          <w:lang w:eastAsia="en-US"/>
        </w:rPr>
        <w:br w:type="page"/>
      </w:r>
    </w:p>
    <w:p w:rsidR="000C5FE4" w:rsidRDefault="000C5FE4" w:rsidP="000C5FE4">
      <w:pPr>
        <w:shd w:val="clear" w:color="auto" w:fill="333399"/>
        <w:jc w:val="center"/>
        <w:rPr>
          <w:b/>
          <w:color w:val="FFFFFF"/>
          <w:sz w:val="28"/>
          <w:szCs w:val="28"/>
        </w:rPr>
      </w:pPr>
      <w:r w:rsidRPr="00914E8C">
        <w:rPr>
          <w:b/>
          <w:color w:val="FFFFFF"/>
          <w:sz w:val="28"/>
          <w:szCs w:val="28"/>
        </w:rPr>
        <w:lastRenderedPageBreak/>
        <w:t xml:space="preserve">Appendix to our letter on IASB </w:t>
      </w:r>
      <w:r>
        <w:rPr>
          <w:b/>
          <w:color w:val="FFFFFF"/>
          <w:sz w:val="28"/>
          <w:szCs w:val="28"/>
        </w:rPr>
        <w:t xml:space="preserve"> :</w:t>
      </w:r>
    </w:p>
    <w:p w:rsidR="000C5FE4" w:rsidRDefault="000C5FE4" w:rsidP="000C5FE4">
      <w:pPr>
        <w:shd w:val="clear" w:color="auto" w:fill="333399"/>
        <w:jc w:val="center"/>
        <w:rPr>
          <w:b/>
          <w:color w:val="FFFFFF"/>
          <w:sz w:val="28"/>
          <w:szCs w:val="28"/>
        </w:rPr>
      </w:pPr>
      <w:r w:rsidRPr="006647FF">
        <w:rPr>
          <w:b/>
          <w:color w:val="FFFFFF"/>
          <w:sz w:val="28"/>
          <w:szCs w:val="28"/>
        </w:rPr>
        <w:t>Post-implementation Review: IFRS 8 Operating Segments</w:t>
      </w:r>
      <w:r w:rsidRPr="00914E8C">
        <w:rPr>
          <w:b/>
          <w:color w:val="FFFFFF"/>
          <w:sz w:val="28"/>
          <w:szCs w:val="28"/>
        </w:rPr>
        <w:t xml:space="preserve"> </w:t>
      </w:r>
    </w:p>
    <w:p w:rsidR="000C5FE4" w:rsidRPr="00914E8C" w:rsidRDefault="000C5FE4" w:rsidP="000C5FE4">
      <w:pPr>
        <w:shd w:val="clear" w:color="auto" w:fill="333399"/>
        <w:jc w:val="center"/>
        <w:rPr>
          <w:b/>
          <w:color w:val="FFFFFF"/>
          <w:sz w:val="28"/>
          <w:szCs w:val="28"/>
        </w:rPr>
      </w:pPr>
      <w:r w:rsidRPr="00914E8C">
        <w:rPr>
          <w:b/>
          <w:color w:val="FFFFFF"/>
          <w:sz w:val="28"/>
          <w:szCs w:val="28"/>
        </w:rPr>
        <w:t>Answers to the specific questions raised in the invitation for comments.</w:t>
      </w:r>
    </w:p>
    <w:p w:rsidR="000C5FE4" w:rsidRPr="000C5FE4" w:rsidRDefault="000C5FE4" w:rsidP="00AE1A71">
      <w:pPr>
        <w:pStyle w:val="Corpsdetexte"/>
        <w:keepNext/>
        <w:spacing w:before="240" w:after="120"/>
        <w:rPr>
          <w:b/>
          <w:bCs/>
          <w:color w:val="000080"/>
          <w:sz w:val="20"/>
          <w:szCs w:val="20"/>
          <w:lang w:val="en-GB"/>
        </w:rPr>
      </w:pPr>
    </w:p>
    <w:p w:rsidR="009653DF" w:rsidRPr="006647FF" w:rsidRDefault="009653DF" w:rsidP="00AE1A71">
      <w:pPr>
        <w:pStyle w:val="Corpsdetexte"/>
        <w:keepNext/>
        <w:spacing w:before="240" w:after="120"/>
        <w:rPr>
          <w:b/>
          <w:bCs/>
          <w:color w:val="000080"/>
          <w:sz w:val="28"/>
          <w:szCs w:val="28"/>
          <w:lang w:val="en-GB"/>
        </w:rPr>
      </w:pPr>
      <w:r w:rsidRPr="006647FF">
        <w:rPr>
          <w:b/>
          <w:bCs/>
          <w:color w:val="000080"/>
          <w:sz w:val="28"/>
          <w:szCs w:val="28"/>
          <w:lang w:val="en-GB"/>
        </w:rPr>
        <w:t>Question 2</w:t>
      </w:r>
    </w:p>
    <w:p w:rsidR="009653DF" w:rsidRPr="00AE1A71" w:rsidRDefault="009653DF" w:rsidP="00AE1A71">
      <w:pPr>
        <w:pStyle w:val="Corpsdetexte"/>
        <w:keepNext/>
        <w:spacing w:before="120" w:after="120"/>
        <w:rPr>
          <w:b/>
          <w:bCs/>
          <w:i/>
          <w:color w:val="000080"/>
          <w:sz w:val="26"/>
          <w:szCs w:val="26"/>
          <w:lang w:val="en-GB"/>
        </w:rPr>
      </w:pPr>
      <w:r w:rsidRPr="00AE1A71">
        <w:rPr>
          <w:b/>
          <w:bCs/>
          <w:i/>
          <w:color w:val="000080"/>
          <w:sz w:val="26"/>
          <w:szCs w:val="26"/>
          <w:lang w:val="en-GB"/>
        </w:rPr>
        <w:t>What is your experience of the effect of the IASB’s decision to identify and</w:t>
      </w:r>
      <w:r w:rsidR="00AE1A71" w:rsidRPr="00AE1A71">
        <w:rPr>
          <w:b/>
          <w:bCs/>
          <w:i/>
          <w:color w:val="000080"/>
          <w:sz w:val="26"/>
          <w:szCs w:val="26"/>
          <w:lang w:val="en-GB"/>
        </w:rPr>
        <w:t xml:space="preserve"> </w:t>
      </w:r>
      <w:r w:rsidRPr="00AE1A71">
        <w:rPr>
          <w:b/>
          <w:bCs/>
          <w:i/>
          <w:color w:val="000080"/>
          <w:sz w:val="26"/>
          <w:szCs w:val="26"/>
          <w:lang w:val="en-GB"/>
        </w:rPr>
        <w:t>report segments using the management perspective?</w:t>
      </w:r>
    </w:p>
    <w:p w:rsidR="00F43F5D" w:rsidRPr="00AE1A71" w:rsidRDefault="009653DF" w:rsidP="00AE1A71">
      <w:pPr>
        <w:pStyle w:val="Corpsdetexte"/>
        <w:keepNext/>
        <w:spacing w:before="120"/>
        <w:ind w:left="142"/>
        <w:rPr>
          <w:bCs/>
          <w:i/>
          <w:color w:val="000080"/>
          <w:lang w:val="en-GB"/>
        </w:rPr>
      </w:pPr>
      <w:r w:rsidRPr="00AE1A71">
        <w:rPr>
          <w:bCs/>
          <w:i/>
          <w:color w:val="000080"/>
          <w:lang w:val="en-GB"/>
        </w:rPr>
        <w:t>Preparers: please include information about whether your reporting of</w:t>
      </w:r>
      <w:r w:rsidR="00C3168D" w:rsidRPr="00AE1A71">
        <w:rPr>
          <w:bCs/>
          <w:i/>
          <w:color w:val="000080"/>
          <w:lang w:val="en-GB"/>
        </w:rPr>
        <w:t xml:space="preserve"> </w:t>
      </w:r>
      <w:r w:rsidRPr="00AE1A71">
        <w:rPr>
          <w:bCs/>
          <w:i/>
          <w:color w:val="000080"/>
          <w:lang w:val="en-GB"/>
        </w:rPr>
        <w:t>operating segments changed when you applied IFRS 8. If it did, what effect did</w:t>
      </w:r>
      <w:r w:rsidR="00C3168D" w:rsidRPr="00AE1A71">
        <w:rPr>
          <w:bCs/>
          <w:i/>
          <w:color w:val="000080"/>
          <w:lang w:val="en-GB"/>
        </w:rPr>
        <w:t xml:space="preserve"> </w:t>
      </w:r>
      <w:r w:rsidRPr="00AE1A71">
        <w:rPr>
          <w:bCs/>
          <w:i/>
          <w:color w:val="000080"/>
          <w:lang w:val="en-GB"/>
        </w:rPr>
        <w:t>that change have on the efficiency of your reporting processes and your ability</w:t>
      </w:r>
      <w:r w:rsidR="00C3168D" w:rsidRPr="00AE1A71">
        <w:rPr>
          <w:bCs/>
          <w:i/>
          <w:color w:val="000080"/>
          <w:lang w:val="en-GB"/>
        </w:rPr>
        <w:t xml:space="preserve"> </w:t>
      </w:r>
      <w:r w:rsidRPr="00AE1A71">
        <w:rPr>
          <w:bCs/>
          <w:i/>
          <w:color w:val="000080"/>
          <w:lang w:val="en-GB"/>
        </w:rPr>
        <w:t>to communicate with investors?</w:t>
      </w:r>
    </w:p>
    <w:p w:rsidR="00441E57" w:rsidRPr="00AE1A71" w:rsidRDefault="00441E57" w:rsidP="00AE1A71">
      <w:pPr>
        <w:pStyle w:val="Corpsdetexte"/>
        <w:keepNext/>
        <w:spacing w:before="240" w:after="120"/>
        <w:rPr>
          <w:b/>
          <w:bCs/>
          <w:color w:val="000080"/>
          <w:sz w:val="28"/>
          <w:szCs w:val="28"/>
          <w:lang w:val="en-GB"/>
        </w:rPr>
      </w:pPr>
      <w:r w:rsidRPr="00AE1A71">
        <w:rPr>
          <w:b/>
          <w:bCs/>
          <w:color w:val="000080"/>
          <w:sz w:val="28"/>
          <w:szCs w:val="28"/>
          <w:lang w:val="en-GB"/>
        </w:rPr>
        <w:t>Question 3</w:t>
      </w:r>
    </w:p>
    <w:p w:rsidR="00441E57" w:rsidRPr="00AE1A71" w:rsidRDefault="00441E57" w:rsidP="00AE1A71">
      <w:pPr>
        <w:pStyle w:val="Corpsdetexte"/>
        <w:keepNext/>
        <w:spacing w:before="120" w:after="120"/>
        <w:rPr>
          <w:b/>
          <w:bCs/>
          <w:i/>
          <w:color w:val="000080"/>
          <w:sz w:val="26"/>
          <w:szCs w:val="26"/>
          <w:lang w:val="en-GB"/>
        </w:rPr>
      </w:pPr>
      <w:r w:rsidRPr="00AE1A71">
        <w:rPr>
          <w:b/>
          <w:bCs/>
          <w:i/>
          <w:color w:val="000080"/>
          <w:sz w:val="26"/>
          <w:szCs w:val="26"/>
          <w:lang w:val="en-GB"/>
        </w:rPr>
        <w:t>How has the use of non-IFRS measurements affected the reporting of operating</w:t>
      </w:r>
      <w:r w:rsidR="00AE1A71">
        <w:rPr>
          <w:b/>
          <w:bCs/>
          <w:i/>
          <w:color w:val="000080"/>
          <w:sz w:val="26"/>
          <w:szCs w:val="26"/>
          <w:lang w:val="en-GB"/>
        </w:rPr>
        <w:t xml:space="preserve"> </w:t>
      </w:r>
      <w:r w:rsidRPr="00AE1A71">
        <w:rPr>
          <w:b/>
          <w:bCs/>
          <w:i/>
          <w:color w:val="000080"/>
          <w:sz w:val="26"/>
          <w:szCs w:val="26"/>
          <w:lang w:val="en-GB"/>
        </w:rPr>
        <w:t>segments?</w:t>
      </w:r>
    </w:p>
    <w:p w:rsidR="00441E57" w:rsidRPr="00AE1A71" w:rsidRDefault="00441E57" w:rsidP="00AE1A71">
      <w:pPr>
        <w:pStyle w:val="Corpsdetexte"/>
        <w:keepNext/>
        <w:spacing w:before="120"/>
        <w:ind w:left="142"/>
        <w:rPr>
          <w:bCs/>
          <w:i/>
          <w:color w:val="000080"/>
          <w:lang w:val="en-GB"/>
        </w:rPr>
      </w:pPr>
      <w:r w:rsidRPr="00AE1A71">
        <w:rPr>
          <w:bCs/>
          <w:i/>
          <w:color w:val="000080"/>
          <w:lang w:val="en-GB"/>
        </w:rPr>
        <w:t>Preparers: it would be helpful if you could provide information about whether you changed your measurement basis for operating segment information on the application of IFRS 8 and, if so, what effect this has had on your ability to communicate information about operating risks and performance with investors and other users of your financial statements.</w:t>
      </w:r>
    </w:p>
    <w:p w:rsidR="00231D6A" w:rsidRPr="00AE1A71" w:rsidRDefault="00441E57" w:rsidP="00AE1A71">
      <w:pPr>
        <w:pStyle w:val="Corpsdetexte"/>
        <w:keepNext/>
        <w:spacing w:before="120"/>
        <w:ind w:left="360"/>
        <w:rPr>
          <w:bCs/>
          <w:color w:val="000080"/>
          <w:lang w:val="en-GB"/>
        </w:rPr>
      </w:pPr>
      <w:r w:rsidRPr="00AE1A71">
        <w:rPr>
          <w:bCs/>
          <w:color w:val="000080"/>
          <w:lang w:val="en-GB"/>
        </w:rPr>
        <w:t xml:space="preserve">None of </w:t>
      </w:r>
      <w:r w:rsidR="009F05E7" w:rsidRPr="00AE1A71">
        <w:rPr>
          <w:bCs/>
          <w:color w:val="000080"/>
          <w:lang w:val="en-GB"/>
        </w:rPr>
        <w:t xml:space="preserve">our </w:t>
      </w:r>
      <w:r w:rsidRPr="00AE1A71">
        <w:rPr>
          <w:bCs/>
          <w:color w:val="000080"/>
          <w:lang w:val="en-GB"/>
        </w:rPr>
        <w:t>members ha</w:t>
      </w:r>
      <w:r w:rsidR="00DB70DC" w:rsidRPr="00AE1A71">
        <w:rPr>
          <w:bCs/>
          <w:color w:val="000080"/>
          <w:lang w:val="en-GB"/>
        </w:rPr>
        <w:t>ve</w:t>
      </w:r>
      <w:r w:rsidRPr="00AE1A71">
        <w:rPr>
          <w:bCs/>
          <w:color w:val="000080"/>
          <w:lang w:val="en-GB"/>
        </w:rPr>
        <w:t xml:space="preserve"> experienced any change in the number or components of operating segments reported as a result of the transition to IFRS 8.  </w:t>
      </w:r>
      <w:r w:rsidR="00231D6A" w:rsidRPr="00AE1A71">
        <w:rPr>
          <w:bCs/>
          <w:color w:val="000080"/>
          <w:lang w:val="en-GB"/>
        </w:rPr>
        <w:t>It was however pointed out that it was difficult to apply the CODM approach in cases where the activity of the entity was managed on a matrix basis, whereby certain activities were managed along business lines whereas others were managed on a different basis, such as geographical or functional lines.</w:t>
      </w:r>
      <w:r w:rsidR="006B37F6" w:rsidRPr="00AE1A71">
        <w:rPr>
          <w:bCs/>
          <w:color w:val="000080"/>
          <w:lang w:val="en-GB"/>
        </w:rPr>
        <w:t xml:space="preserve">  This difficulty has been resolved by the adoption of clear internal guidelines and consistent application within the entity.</w:t>
      </w:r>
    </w:p>
    <w:p w:rsidR="00DB70DC" w:rsidRPr="00AE1A71" w:rsidRDefault="00917962" w:rsidP="00AE1A71">
      <w:pPr>
        <w:pStyle w:val="Corpsdetexte"/>
        <w:keepNext/>
        <w:spacing w:before="120"/>
        <w:ind w:left="360"/>
        <w:rPr>
          <w:bCs/>
          <w:color w:val="000080"/>
          <w:lang w:val="en-GB"/>
        </w:rPr>
      </w:pPr>
      <w:r w:rsidRPr="00AE1A71">
        <w:rPr>
          <w:bCs/>
          <w:color w:val="000080"/>
          <w:lang w:val="en-GB"/>
        </w:rPr>
        <w:t xml:space="preserve">A further observation we would make is the following:  Where there are difficulties in identifying the CODM as required by the standard, it is helpful to align reporting with the financial communications that the entity provides already. </w:t>
      </w:r>
      <w:r w:rsidR="00C96EEF" w:rsidRPr="00AE1A71">
        <w:rPr>
          <w:bCs/>
          <w:color w:val="000080"/>
          <w:lang w:val="en-GB"/>
        </w:rPr>
        <w:t xml:space="preserve"> In most cases, such communication is the result of dialogue between users and the management and represents an accepted compromise made between the information used internally by management and that which users have ident</w:t>
      </w:r>
      <w:r w:rsidRPr="00AE1A71">
        <w:rPr>
          <w:bCs/>
          <w:color w:val="000080"/>
          <w:lang w:val="en-GB"/>
        </w:rPr>
        <w:t>if</w:t>
      </w:r>
      <w:r w:rsidR="00C96EEF" w:rsidRPr="00AE1A71">
        <w:rPr>
          <w:bCs/>
          <w:color w:val="000080"/>
          <w:lang w:val="en-GB"/>
        </w:rPr>
        <w:t xml:space="preserve">ied </w:t>
      </w:r>
      <w:r w:rsidRPr="00AE1A71">
        <w:rPr>
          <w:bCs/>
          <w:color w:val="000080"/>
          <w:lang w:val="en-GB"/>
        </w:rPr>
        <w:t xml:space="preserve">as being required by them. </w:t>
      </w:r>
      <w:r w:rsidR="00C96EEF" w:rsidRPr="00AE1A71">
        <w:rPr>
          <w:bCs/>
          <w:color w:val="000080"/>
          <w:lang w:val="en-GB"/>
        </w:rPr>
        <w:t xml:space="preserve"> </w:t>
      </w:r>
      <w:r w:rsidR="00080D88" w:rsidRPr="00AE1A71">
        <w:rPr>
          <w:bCs/>
          <w:color w:val="000080"/>
          <w:lang w:val="en-GB"/>
        </w:rPr>
        <w:t>Communication of this type was often in place before the adoption of IFRS 8.</w:t>
      </w:r>
    </w:p>
    <w:p w:rsidR="006B37F6" w:rsidRPr="00AE1A71" w:rsidRDefault="00441E57" w:rsidP="00AE1A71">
      <w:pPr>
        <w:pStyle w:val="Corpsdetexte"/>
        <w:keepNext/>
        <w:spacing w:before="120"/>
        <w:ind w:left="360"/>
        <w:rPr>
          <w:bCs/>
          <w:color w:val="000080"/>
          <w:lang w:val="en-GB"/>
        </w:rPr>
      </w:pPr>
      <w:r w:rsidRPr="00AE1A71">
        <w:rPr>
          <w:bCs/>
          <w:color w:val="000080"/>
          <w:lang w:val="en-GB"/>
        </w:rPr>
        <w:t xml:space="preserve">However, </w:t>
      </w:r>
      <w:r w:rsidR="00711977" w:rsidRPr="00AE1A71">
        <w:rPr>
          <w:bCs/>
          <w:color w:val="000080"/>
          <w:lang w:val="en-GB"/>
        </w:rPr>
        <w:t>most believe that the requirement to report the measure used by the chief operating decision maker to assess and make decisions about the allocation of resources had facilitated and enhanced  communication with external analysts, because management could “speak the same language” both internally and externally.</w:t>
      </w:r>
      <w:r w:rsidR="00186548" w:rsidRPr="00AE1A71">
        <w:rPr>
          <w:bCs/>
          <w:color w:val="000080"/>
          <w:lang w:val="en-GB"/>
        </w:rPr>
        <w:t xml:space="preserve">  Members believe that business management and external users alike are better served by the use of simpler accounting approaches reflecting the reality of the business,</w:t>
      </w:r>
      <w:r w:rsidR="00CD20A6" w:rsidRPr="00AE1A71">
        <w:rPr>
          <w:bCs/>
          <w:color w:val="000080"/>
          <w:lang w:val="en-GB"/>
        </w:rPr>
        <w:t xml:space="preserve"> thus</w:t>
      </w:r>
      <w:r w:rsidR="00186548" w:rsidRPr="00AE1A71">
        <w:rPr>
          <w:bCs/>
          <w:color w:val="000080"/>
          <w:lang w:val="en-GB"/>
        </w:rPr>
        <w:t xml:space="preserve"> leaving the more esoteric accounting approaches to be isolated and dealt with by specialists.</w:t>
      </w:r>
    </w:p>
    <w:p w:rsidR="000C5FE4" w:rsidRDefault="000C5FE4">
      <w:pPr>
        <w:spacing w:after="200" w:line="276" w:lineRule="auto"/>
        <w:rPr>
          <w:rFonts w:eastAsia="Times New Roman"/>
          <w:bCs/>
          <w:snapToGrid w:val="0"/>
          <w:color w:val="000080"/>
          <w:lang w:eastAsia="fr-FR"/>
        </w:rPr>
      </w:pPr>
      <w:r>
        <w:rPr>
          <w:bCs/>
          <w:color w:val="000080"/>
        </w:rPr>
        <w:br w:type="page"/>
      </w:r>
    </w:p>
    <w:p w:rsidR="009653DF" w:rsidRPr="00AE1A71" w:rsidRDefault="006B37F6" w:rsidP="00AE1A71">
      <w:pPr>
        <w:pStyle w:val="Corpsdetexte"/>
        <w:keepNext/>
        <w:spacing w:before="120"/>
        <w:ind w:left="360"/>
        <w:rPr>
          <w:bCs/>
          <w:color w:val="000080"/>
          <w:lang w:val="en-GB"/>
        </w:rPr>
      </w:pPr>
      <w:r w:rsidRPr="00AE1A71">
        <w:rPr>
          <w:bCs/>
          <w:color w:val="000080"/>
          <w:lang w:val="en-GB"/>
        </w:rPr>
        <w:t>We think that the prescribed management approach does not give management complete liberty to present results as it pleases, but rather introduces a structure which forces management to consider carefully the impact of its actions on the financial performance of the entity and to account appropriately for its stewardship to the investors in the entity.</w:t>
      </w:r>
      <w:r w:rsidR="00186548" w:rsidRPr="00AE1A71">
        <w:rPr>
          <w:bCs/>
          <w:color w:val="000080"/>
          <w:lang w:val="en-GB"/>
        </w:rPr>
        <w:t xml:space="preserve"> </w:t>
      </w:r>
    </w:p>
    <w:p w:rsidR="0047611D" w:rsidRPr="00AE1A71" w:rsidRDefault="00462850" w:rsidP="00AE1A71">
      <w:pPr>
        <w:pStyle w:val="Corpsdetexte"/>
        <w:keepNext/>
        <w:spacing w:before="120"/>
        <w:ind w:left="360"/>
        <w:rPr>
          <w:bCs/>
          <w:color w:val="000080"/>
          <w:lang w:val="en-GB"/>
        </w:rPr>
      </w:pPr>
      <w:r w:rsidRPr="00AE1A71">
        <w:rPr>
          <w:bCs/>
          <w:color w:val="000080"/>
          <w:lang w:val="en-GB"/>
        </w:rPr>
        <w:t xml:space="preserve">The principal differences in </w:t>
      </w:r>
      <w:r w:rsidR="008D24F6" w:rsidRPr="00AE1A71">
        <w:rPr>
          <w:bCs/>
          <w:color w:val="000080"/>
          <w:lang w:val="en-GB"/>
        </w:rPr>
        <w:t xml:space="preserve">information </w:t>
      </w:r>
      <w:r w:rsidRPr="00AE1A71">
        <w:rPr>
          <w:bCs/>
          <w:color w:val="000080"/>
          <w:lang w:val="en-GB"/>
        </w:rPr>
        <w:t xml:space="preserve">between that used internally and that used under full IFRS are of two main types: </w:t>
      </w:r>
    </w:p>
    <w:p w:rsidR="00462850" w:rsidRPr="00AE1A71" w:rsidRDefault="00462850" w:rsidP="00AE1A71">
      <w:pPr>
        <w:pStyle w:val="Corpsdetexte"/>
        <w:keepNext/>
        <w:numPr>
          <w:ilvl w:val="0"/>
          <w:numId w:val="2"/>
        </w:numPr>
        <w:spacing w:before="120"/>
        <w:ind w:left="709" w:hanging="283"/>
        <w:rPr>
          <w:bCs/>
          <w:color w:val="000080"/>
          <w:lang w:val="en-GB"/>
        </w:rPr>
      </w:pPr>
      <w:r w:rsidRPr="00AE1A71">
        <w:rPr>
          <w:bCs/>
          <w:color w:val="000080"/>
          <w:lang w:val="en-GB"/>
        </w:rPr>
        <w:t xml:space="preserve">those where it is not felt to be appropriate to </w:t>
      </w:r>
      <w:r w:rsidR="00231D6A" w:rsidRPr="00AE1A71">
        <w:rPr>
          <w:bCs/>
          <w:color w:val="000080"/>
          <w:lang w:val="en-GB"/>
        </w:rPr>
        <w:t>render segment management responsible for certain effects deemed to be the responsibility of the entity management</w:t>
      </w:r>
      <w:r w:rsidR="0047611D" w:rsidRPr="00AE1A71">
        <w:rPr>
          <w:bCs/>
          <w:color w:val="000080"/>
          <w:lang w:val="en-GB"/>
        </w:rPr>
        <w:t xml:space="preserve">, </w:t>
      </w:r>
      <w:r w:rsidR="008D24F6" w:rsidRPr="00AE1A71">
        <w:rPr>
          <w:bCs/>
          <w:color w:val="000080"/>
          <w:lang w:val="en-GB"/>
        </w:rPr>
        <w:t xml:space="preserve">or where it is deemed unproductive to try to allocate items between segments.  Examples of this include items </w:t>
      </w:r>
      <w:r w:rsidR="0047611D" w:rsidRPr="00AE1A71">
        <w:rPr>
          <w:bCs/>
          <w:color w:val="000080"/>
          <w:lang w:val="en-GB"/>
        </w:rPr>
        <w:t xml:space="preserve">such as goodwill </w:t>
      </w:r>
      <w:r w:rsidR="001D3231" w:rsidRPr="00AE1A71">
        <w:rPr>
          <w:bCs/>
          <w:color w:val="000080"/>
          <w:lang w:val="en-GB"/>
        </w:rPr>
        <w:t>and</w:t>
      </w:r>
      <w:r w:rsidR="0047611D" w:rsidRPr="00AE1A71">
        <w:rPr>
          <w:bCs/>
          <w:color w:val="000080"/>
          <w:lang w:val="en-GB"/>
        </w:rPr>
        <w:t xml:space="preserve"> depreciation of the excess of fair value over book value of assets purchased in an acquisition</w:t>
      </w:r>
      <w:r w:rsidR="001D3231" w:rsidRPr="00AE1A71">
        <w:rPr>
          <w:bCs/>
          <w:color w:val="000080"/>
          <w:lang w:val="en-GB"/>
        </w:rPr>
        <w:t>,</w:t>
      </w:r>
      <w:r w:rsidR="0047611D" w:rsidRPr="00AE1A71">
        <w:rPr>
          <w:bCs/>
          <w:color w:val="000080"/>
          <w:lang w:val="en-GB"/>
        </w:rPr>
        <w:t xml:space="preserve"> or where management is held responsible for the management of a component of a segment classified as a business held for disposal; and</w:t>
      </w:r>
    </w:p>
    <w:p w:rsidR="0047611D" w:rsidRPr="00AE1A71" w:rsidRDefault="0047611D" w:rsidP="00AE1A71">
      <w:pPr>
        <w:pStyle w:val="Corpsdetexte"/>
        <w:keepNext/>
        <w:numPr>
          <w:ilvl w:val="0"/>
          <w:numId w:val="2"/>
        </w:numPr>
        <w:spacing w:before="120"/>
        <w:ind w:left="709" w:hanging="283"/>
        <w:rPr>
          <w:bCs/>
          <w:color w:val="000080"/>
          <w:lang w:val="en-GB"/>
        </w:rPr>
      </w:pPr>
      <w:r w:rsidRPr="00AE1A71">
        <w:rPr>
          <w:bCs/>
          <w:color w:val="000080"/>
          <w:lang w:val="en-GB"/>
        </w:rPr>
        <w:t>those where the IFRS measure is not felt to be appropriate to the entity’s business model, such as assets/liabilities required to be measured at amortised cost but managed at fair value, or vice-versa</w:t>
      </w:r>
      <w:r w:rsidR="00DE2CDC" w:rsidRPr="00AE1A71">
        <w:rPr>
          <w:bCs/>
          <w:color w:val="000080"/>
          <w:lang w:val="en-GB"/>
        </w:rPr>
        <w:t>, and hedging activity</w:t>
      </w:r>
      <w:r w:rsidRPr="00AE1A71">
        <w:rPr>
          <w:bCs/>
          <w:color w:val="000080"/>
          <w:lang w:val="en-GB"/>
        </w:rPr>
        <w:t xml:space="preserve">.  In the future this may include proportional consolidation of joint ventures in which an important part of the entity’s primary business activity is carried out.  </w:t>
      </w:r>
    </w:p>
    <w:p w:rsidR="00B059FD" w:rsidRPr="00AE1A71" w:rsidRDefault="00B059FD" w:rsidP="00AE1A71">
      <w:pPr>
        <w:pStyle w:val="Corpsdetexte"/>
        <w:keepNext/>
        <w:spacing w:before="120"/>
        <w:ind w:left="360"/>
        <w:rPr>
          <w:bCs/>
          <w:color w:val="000080"/>
          <w:lang w:val="en-GB"/>
        </w:rPr>
      </w:pPr>
      <w:r w:rsidRPr="00AE1A71">
        <w:rPr>
          <w:bCs/>
          <w:color w:val="000080"/>
          <w:lang w:val="en-GB"/>
        </w:rPr>
        <w:t xml:space="preserve">Our members report that at present there are few such differences to be reconciled. </w:t>
      </w:r>
    </w:p>
    <w:p w:rsidR="009653DF" w:rsidRPr="00AE1A71" w:rsidRDefault="009653DF" w:rsidP="00AE1A71">
      <w:pPr>
        <w:pStyle w:val="Corpsdetexte"/>
        <w:keepNext/>
        <w:spacing w:before="240" w:after="120"/>
        <w:rPr>
          <w:b/>
          <w:bCs/>
          <w:color w:val="000080"/>
          <w:sz w:val="28"/>
          <w:szCs w:val="28"/>
          <w:lang w:val="en-GB"/>
        </w:rPr>
      </w:pPr>
      <w:r w:rsidRPr="00AE1A71">
        <w:rPr>
          <w:b/>
          <w:bCs/>
          <w:color w:val="000080"/>
          <w:sz w:val="28"/>
          <w:szCs w:val="28"/>
          <w:lang w:val="en-GB"/>
        </w:rPr>
        <w:t>Question 4</w:t>
      </w:r>
    </w:p>
    <w:p w:rsidR="009653DF" w:rsidRPr="00AE1A71" w:rsidRDefault="009653DF" w:rsidP="00AE1A71">
      <w:pPr>
        <w:pStyle w:val="Corpsdetexte"/>
        <w:keepNext/>
        <w:spacing w:before="120" w:after="120"/>
        <w:rPr>
          <w:b/>
          <w:bCs/>
          <w:i/>
          <w:color w:val="000080"/>
          <w:sz w:val="26"/>
          <w:szCs w:val="26"/>
          <w:lang w:val="en-GB"/>
        </w:rPr>
      </w:pPr>
      <w:r w:rsidRPr="00AE1A71">
        <w:rPr>
          <w:b/>
          <w:bCs/>
          <w:i/>
          <w:color w:val="000080"/>
          <w:sz w:val="26"/>
          <w:szCs w:val="26"/>
          <w:lang w:val="en-GB"/>
        </w:rPr>
        <w:t>How has the requirement to use internally-reported line items affected</w:t>
      </w:r>
      <w:r w:rsidR="00AE1A71">
        <w:rPr>
          <w:b/>
          <w:bCs/>
          <w:i/>
          <w:color w:val="000080"/>
          <w:sz w:val="26"/>
          <w:szCs w:val="26"/>
          <w:lang w:val="en-GB"/>
        </w:rPr>
        <w:t xml:space="preserve"> </w:t>
      </w:r>
      <w:r w:rsidRPr="00AE1A71">
        <w:rPr>
          <w:b/>
          <w:bCs/>
          <w:i/>
          <w:color w:val="000080"/>
          <w:sz w:val="26"/>
          <w:szCs w:val="26"/>
          <w:lang w:val="en-GB"/>
        </w:rPr>
        <w:t>financial reporting?</w:t>
      </w:r>
    </w:p>
    <w:p w:rsidR="009653DF" w:rsidRPr="000C5FE4" w:rsidRDefault="009653DF" w:rsidP="000C5FE4">
      <w:pPr>
        <w:pStyle w:val="Corpsdetexte"/>
        <w:keepNext/>
        <w:spacing w:before="120"/>
        <w:ind w:left="142"/>
        <w:rPr>
          <w:bCs/>
          <w:i/>
          <w:color w:val="000080"/>
          <w:lang w:val="en-GB"/>
        </w:rPr>
      </w:pPr>
      <w:r w:rsidRPr="000C5FE4">
        <w:rPr>
          <w:bCs/>
          <w:i/>
          <w:color w:val="000080"/>
          <w:lang w:val="en-GB"/>
        </w:rPr>
        <w:t>Preparers: please provide information about any changes in reported line items</w:t>
      </w:r>
      <w:r w:rsidR="00AE175D" w:rsidRPr="000C5FE4">
        <w:rPr>
          <w:bCs/>
          <w:i/>
          <w:color w:val="000080"/>
          <w:lang w:val="en-GB"/>
        </w:rPr>
        <w:t xml:space="preserve"> </w:t>
      </w:r>
      <w:r w:rsidRPr="000C5FE4">
        <w:rPr>
          <w:bCs/>
          <w:i/>
          <w:color w:val="000080"/>
          <w:lang w:val="en-GB"/>
        </w:rPr>
        <w:t>that resulted from the application of IFRS 8.</w:t>
      </w:r>
    </w:p>
    <w:p w:rsidR="00CD20A6" w:rsidRPr="000C5FE4" w:rsidRDefault="00CD20A6" w:rsidP="000C5FE4">
      <w:pPr>
        <w:pStyle w:val="Corpsdetexte"/>
        <w:keepNext/>
        <w:spacing w:before="120"/>
        <w:ind w:left="360"/>
        <w:rPr>
          <w:bCs/>
          <w:color w:val="000080"/>
          <w:lang w:val="en-GB"/>
        </w:rPr>
      </w:pPr>
      <w:r w:rsidRPr="000C5FE4">
        <w:rPr>
          <w:bCs/>
          <w:color w:val="000080"/>
          <w:lang w:val="en-GB"/>
        </w:rPr>
        <w:t>Our members d</w:t>
      </w:r>
      <w:r w:rsidR="00DB70DC" w:rsidRPr="000C5FE4">
        <w:rPr>
          <w:bCs/>
          <w:color w:val="000080"/>
          <w:lang w:val="en-GB"/>
        </w:rPr>
        <w:t>o</w:t>
      </w:r>
      <w:r w:rsidRPr="000C5FE4">
        <w:rPr>
          <w:bCs/>
          <w:color w:val="000080"/>
          <w:lang w:val="en-GB"/>
        </w:rPr>
        <w:t xml:space="preserve"> not believe that there ha</w:t>
      </w:r>
      <w:r w:rsidR="00DB70DC" w:rsidRPr="000C5FE4">
        <w:rPr>
          <w:bCs/>
          <w:color w:val="000080"/>
          <w:lang w:val="en-GB"/>
        </w:rPr>
        <w:t>ve</w:t>
      </w:r>
      <w:r w:rsidRPr="000C5FE4">
        <w:rPr>
          <w:bCs/>
          <w:color w:val="000080"/>
          <w:lang w:val="en-GB"/>
        </w:rPr>
        <w:t xml:space="preserve"> been any significant changes</w:t>
      </w:r>
      <w:r w:rsidR="00DB70DC" w:rsidRPr="000C5FE4">
        <w:rPr>
          <w:bCs/>
          <w:color w:val="000080"/>
          <w:lang w:val="en-GB"/>
        </w:rPr>
        <w:t xml:space="preserve"> to their reported line items</w:t>
      </w:r>
      <w:r w:rsidRPr="000C5FE4">
        <w:rPr>
          <w:bCs/>
          <w:color w:val="000080"/>
          <w:lang w:val="en-GB"/>
        </w:rPr>
        <w:t>.</w:t>
      </w:r>
    </w:p>
    <w:p w:rsidR="009653DF" w:rsidRPr="00AE1A71" w:rsidRDefault="009653DF" w:rsidP="00AE1A71">
      <w:pPr>
        <w:pStyle w:val="Corpsdetexte"/>
        <w:keepNext/>
        <w:spacing w:before="240" w:after="120"/>
        <w:rPr>
          <w:b/>
          <w:bCs/>
          <w:color w:val="000080"/>
          <w:sz w:val="28"/>
          <w:szCs w:val="28"/>
          <w:lang w:val="en-GB"/>
        </w:rPr>
      </w:pPr>
      <w:r w:rsidRPr="00AE1A71">
        <w:rPr>
          <w:b/>
          <w:bCs/>
          <w:color w:val="000080"/>
          <w:sz w:val="28"/>
          <w:szCs w:val="28"/>
          <w:lang w:val="en-GB"/>
        </w:rPr>
        <w:t>Question 5</w:t>
      </w:r>
    </w:p>
    <w:p w:rsidR="009653DF" w:rsidRPr="00AE1A71" w:rsidRDefault="009653DF" w:rsidP="00AE1A71">
      <w:pPr>
        <w:pStyle w:val="Corpsdetexte"/>
        <w:keepNext/>
        <w:spacing w:before="120" w:after="120"/>
        <w:rPr>
          <w:b/>
          <w:bCs/>
          <w:i/>
          <w:color w:val="000080"/>
          <w:sz w:val="26"/>
          <w:szCs w:val="26"/>
          <w:lang w:val="en-GB"/>
        </w:rPr>
      </w:pPr>
      <w:r w:rsidRPr="00AE1A71">
        <w:rPr>
          <w:b/>
          <w:bCs/>
          <w:i/>
          <w:color w:val="000080"/>
          <w:sz w:val="26"/>
          <w:szCs w:val="26"/>
          <w:lang w:val="en-GB"/>
        </w:rPr>
        <w:t>How have the disclosures required by IFRS 8 affected you in your role?</w:t>
      </w:r>
    </w:p>
    <w:p w:rsidR="009653DF" w:rsidRPr="000C5FE4" w:rsidRDefault="009653DF" w:rsidP="000C5FE4">
      <w:pPr>
        <w:pStyle w:val="Corpsdetexte"/>
        <w:keepNext/>
        <w:spacing w:before="120"/>
        <w:ind w:left="142"/>
        <w:rPr>
          <w:bCs/>
          <w:i/>
          <w:color w:val="000080"/>
          <w:lang w:val="en-GB"/>
        </w:rPr>
      </w:pPr>
      <w:r w:rsidRPr="000C5FE4">
        <w:rPr>
          <w:bCs/>
          <w:i/>
          <w:color w:val="000080"/>
          <w:lang w:val="en-GB"/>
        </w:rPr>
        <w:t>Preparers: please consider whether operating segment disclosures are more or</w:t>
      </w:r>
      <w:r w:rsidR="00AE175D" w:rsidRPr="000C5FE4">
        <w:rPr>
          <w:bCs/>
          <w:i/>
          <w:color w:val="000080"/>
          <w:lang w:val="en-GB"/>
        </w:rPr>
        <w:t xml:space="preserve"> </w:t>
      </w:r>
      <w:r w:rsidRPr="000C5FE4">
        <w:rPr>
          <w:bCs/>
          <w:i/>
          <w:color w:val="000080"/>
          <w:lang w:val="en-GB"/>
        </w:rPr>
        <w:t>less burdensome when based on information prepared in accordance with your</w:t>
      </w:r>
      <w:r w:rsidR="00AE175D" w:rsidRPr="000C5FE4">
        <w:rPr>
          <w:bCs/>
          <w:i/>
          <w:color w:val="000080"/>
          <w:lang w:val="en-GB"/>
        </w:rPr>
        <w:t xml:space="preserve"> </w:t>
      </w:r>
      <w:r w:rsidRPr="000C5FE4">
        <w:rPr>
          <w:bCs/>
          <w:i/>
          <w:color w:val="000080"/>
          <w:lang w:val="en-GB"/>
        </w:rPr>
        <w:t>own internal reporting requirements. If any requirements are burdensome,</w:t>
      </w:r>
      <w:r w:rsidR="00AE175D" w:rsidRPr="000C5FE4">
        <w:rPr>
          <w:bCs/>
          <w:i/>
          <w:color w:val="000080"/>
          <w:lang w:val="en-GB"/>
        </w:rPr>
        <w:t xml:space="preserve"> </w:t>
      </w:r>
      <w:r w:rsidRPr="000C5FE4">
        <w:rPr>
          <w:bCs/>
          <w:i/>
          <w:color w:val="000080"/>
          <w:lang w:val="en-GB"/>
        </w:rPr>
        <w:t>please provide details of those disclosures and explain why they are costly or</w:t>
      </w:r>
      <w:r w:rsidR="00AE175D" w:rsidRPr="000C5FE4">
        <w:rPr>
          <w:bCs/>
          <w:i/>
          <w:color w:val="000080"/>
          <w:lang w:val="en-GB"/>
        </w:rPr>
        <w:t xml:space="preserve"> </w:t>
      </w:r>
      <w:r w:rsidRPr="000C5FE4">
        <w:rPr>
          <w:bCs/>
          <w:i/>
          <w:color w:val="000080"/>
          <w:lang w:val="en-GB"/>
        </w:rPr>
        <w:t>time-consuming to prepare. Do you think that the information you present</w:t>
      </w:r>
      <w:r w:rsidR="00AE175D" w:rsidRPr="000C5FE4">
        <w:rPr>
          <w:bCs/>
          <w:i/>
          <w:color w:val="000080"/>
          <w:lang w:val="en-GB"/>
        </w:rPr>
        <w:t xml:space="preserve"> </w:t>
      </w:r>
      <w:r w:rsidRPr="000C5FE4">
        <w:rPr>
          <w:bCs/>
          <w:i/>
          <w:color w:val="000080"/>
          <w:lang w:val="en-GB"/>
        </w:rPr>
        <w:t>now about operating segments conveys better information to investors and</w:t>
      </w:r>
      <w:r w:rsidR="00AE175D" w:rsidRPr="000C5FE4">
        <w:rPr>
          <w:bCs/>
          <w:i/>
          <w:color w:val="000080"/>
          <w:lang w:val="en-GB"/>
        </w:rPr>
        <w:t xml:space="preserve"> </w:t>
      </w:r>
      <w:r w:rsidRPr="000C5FE4">
        <w:rPr>
          <w:bCs/>
          <w:i/>
          <w:color w:val="000080"/>
          <w:lang w:val="en-GB"/>
        </w:rPr>
        <w:t>shareholders? It would be useful to indicate whether you regularly report any</w:t>
      </w:r>
      <w:r w:rsidR="000C5FE4">
        <w:rPr>
          <w:bCs/>
          <w:i/>
          <w:color w:val="000080"/>
          <w:lang w:val="en-GB"/>
        </w:rPr>
        <w:t xml:space="preserve"> </w:t>
      </w:r>
      <w:r w:rsidRPr="000C5FE4">
        <w:rPr>
          <w:bCs/>
          <w:i/>
          <w:color w:val="000080"/>
          <w:lang w:val="en-GB"/>
        </w:rPr>
        <w:t>segment information in addition to that required by IFRS 8.</w:t>
      </w:r>
    </w:p>
    <w:p w:rsidR="00E50415" w:rsidRPr="000C5FE4" w:rsidRDefault="00E50415" w:rsidP="000C5FE4">
      <w:pPr>
        <w:pStyle w:val="Corpsdetexte"/>
        <w:keepNext/>
        <w:spacing w:before="120"/>
        <w:ind w:left="360"/>
        <w:rPr>
          <w:bCs/>
          <w:color w:val="000080"/>
          <w:lang w:val="en-GB"/>
        </w:rPr>
      </w:pPr>
      <w:r w:rsidRPr="000C5FE4">
        <w:rPr>
          <w:bCs/>
          <w:color w:val="000080"/>
          <w:lang w:val="en-GB"/>
        </w:rPr>
        <w:t xml:space="preserve">As stated above, we believe that IFRS 8 has resulted in the provision of better information to users as it has enhanced the alignment between the way the entity is managed and the way its performance is reported externally, and </w:t>
      </w:r>
      <w:r w:rsidR="006F0D21" w:rsidRPr="000C5FE4">
        <w:rPr>
          <w:bCs/>
          <w:color w:val="000080"/>
          <w:lang w:val="en-GB"/>
        </w:rPr>
        <w:t xml:space="preserve">has </w:t>
      </w:r>
      <w:r w:rsidRPr="000C5FE4">
        <w:rPr>
          <w:bCs/>
          <w:color w:val="000080"/>
          <w:lang w:val="en-GB"/>
        </w:rPr>
        <w:t>thus facilitated the dialogue between users and management.</w:t>
      </w:r>
    </w:p>
    <w:p w:rsidR="000C5FE4" w:rsidRDefault="000C5FE4">
      <w:pPr>
        <w:spacing w:after="200" w:line="276" w:lineRule="auto"/>
        <w:rPr>
          <w:rFonts w:eastAsia="Times New Roman"/>
          <w:bCs/>
          <w:snapToGrid w:val="0"/>
          <w:color w:val="000080"/>
          <w:lang w:eastAsia="fr-FR"/>
        </w:rPr>
      </w:pPr>
      <w:r>
        <w:rPr>
          <w:bCs/>
          <w:color w:val="000080"/>
        </w:rPr>
        <w:br w:type="page"/>
      </w:r>
    </w:p>
    <w:p w:rsidR="00CD20A6" w:rsidRPr="000C5FE4" w:rsidRDefault="00CD20A6" w:rsidP="000C5FE4">
      <w:pPr>
        <w:pStyle w:val="Corpsdetexte"/>
        <w:keepNext/>
        <w:spacing w:before="120"/>
        <w:ind w:left="360"/>
        <w:rPr>
          <w:bCs/>
          <w:color w:val="000080"/>
          <w:lang w:val="en-GB"/>
        </w:rPr>
      </w:pPr>
      <w:r w:rsidRPr="000C5FE4">
        <w:rPr>
          <w:bCs/>
          <w:color w:val="000080"/>
          <w:lang w:val="en-GB"/>
        </w:rPr>
        <w:t>The principles behind the identification of reported segments and their measurement mean that no additional work</w:t>
      </w:r>
      <w:r w:rsidR="00F9578F" w:rsidRPr="000C5FE4">
        <w:rPr>
          <w:bCs/>
          <w:color w:val="000080"/>
          <w:lang w:val="en-GB"/>
        </w:rPr>
        <w:t xml:space="preserve"> is requi</w:t>
      </w:r>
      <w:r w:rsidRPr="000C5FE4">
        <w:rPr>
          <w:bCs/>
          <w:color w:val="000080"/>
          <w:lang w:val="en-GB"/>
        </w:rPr>
        <w:t xml:space="preserve">red </w:t>
      </w:r>
      <w:r w:rsidR="00F9578F" w:rsidRPr="000C5FE4">
        <w:rPr>
          <w:bCs/>
          <w:color w:val="000080"/>
          <w:lang w:val="en-GB"/>
        </w:rPr>
        <w:t>compared with the requirements internal reporting.</w:t>
      </w:r>
      <w:r w:rsidRPr="000C5FE4">
        <w:rPr>
          <w:bCs/>
          <w:color w:val="000080"/>
          <w:lang w:val="en-GB"/>
        </w:rPr>
        <w:t xml:space="preserve"> </w:t>
      </w:r>
      <w:r w:rsidR="00F9578F" w:rsidRPr="000C5FE4">
        <w:rPr>
          <w:bCs/>
          <w:color w:val="000080"/>
          <w:lang w:val="en-GB"/>
        </w:rPr>
        <w:t xml:space="preserve"> The reconciliation to the full-entity reporting would be required in any event</w:t>
      </w:r>
      <w:r w:rsidR="004B0E5E" w:rsidRPr="000C5FE4">
        <w:rPr>
          <w:bCs/>
          <w:color w:val="000080"/>
          <w:lang w:val="en-GB"/>
        </w:rPr>
        <w:t xml:space="preserve"> for the purposes of internal control and governance</w:t>
      </w:r>
      <w:r w:rsidR="00F9578F" w:rsidRPr="000C5FE4">
        <w:rPr>
          <w:bCs/>
          <w:color w:val="000080"/>
          <w:lang w:val="en-GB"/>
        </w:rPr>
        <w:t>.</w:t>
      </w:r>
    </w:p>
    <w:p w:rsidR="00DB70DC" w:rsidRPr="000C5FE4" w:rsidRDefault="003A5F8E" w:rsidP="000C5FE4">
      <w:pPr>
        <w:pStyle w:val="Corpsdetexte"/>
        <w:keepNext/>
        <w:spacing w:before="120"/>
        <w:ind w:left="360"/>
        <w:rPr>
          <w:bCs/>
          <w:color w:val="000080"/>
          <w:lang w:val="en-GB"/>
        </w:rPr>
      </w:pPr>
      <w:r w:rsidRPr="000C5FE4">
        <w:rPr>
          <w:bCs/>
          <w:color w:val="000080"/>
          <w:lang w:val="en-GB"/>
        </w:rPr>
        <w:t>As a corollary to this</w:t>
      </w:r>
      <w:r w:rsidR="00DB70DC" w:rsidRPr="000C5FE4">
        <w:rPr>
          <w:bCs/>
          <w:color w:val="000080"/>
          <w:lang w:val="en-GB"/>
        </w:rPr>
        <w:t>, it would be</w:t>
      </w:r>
      <w:r w:rsidR="004B0E5E" w:rsidRPr="000C5FE4">
        <w:rPr>
          <w:bCs/>
          <w:color w:val="000080"/>
          <w:lang w:val="en-GB"/>
        </w:rPr>
        <w:t xml:space="preserve"> more relevant and also</w:t>
      </w:r>
      <w:r w:rsidR="00DB70DC" w:rsidRPr="000C5FE4">
        <w:rPr>
          <w:bCs/>
          <w:color w:val="000080"/>
          <w:lang w:val="en-GB"/>
        </w:rPr>
        <w:t xml:space="preserve"> less of a burden</w:t>
      </w:r>
      <w:r w:rsidRPr="000C5FE4">
        <w:rPr>
          <w:bCs/>
          <w:color w:val="000080"/>
          <w:lang w:val="en-GB"/>
        </w:rPr>
        <w:t xml:space="preserve"> for entities</w:t>
      </w:r>
      <w:r w:rsidR="00DB70DC" w:rsidRPr="000C5FE4">
        <w:rPr>
          <w:bCs/>
          <w:color w:val="000080"/>
          <w:lang w:val="en-GB"/>
        </w:rPr>
        <w:t xml:space="preserve"> to be able to report the entity-wide disclosures on the same measurement basis as the reportable segments, that is, using the measurement used by management and then reconciling to the figures </w:t>
      </w:r>
      <w:r w:rsidRPr="000C5FE4">
        <w:rPr>
          <w:bCs/>
          <w:color w:val="000080"/>
          <w:lang w:val="en-GB"/>
        </w:rPr>
        <w:t>in the entity’s financial statements.</w:t>
      </w:r>
    </w:p>
    <w:p w:rsidR="004C1977" w:rsidRPr="00AE1A71" w:rsidRDefault="004C1977" w:rsidP="00AE1A71">
      <w:pPr>
        <w:pStyle w:val="Corpsdetexte"/>
        <w:keepNext/>
        <w:spacing w:before="240" w:after="120"/>
        <w:rPr>
          <w:b/>
          <w:bCs/>
          <w:color w:val="000080"/>
          <w:sz w:val="28"/>
          <w:szCs w:val="28"/>
          <w:lang w:val="en-GB"/>
        </w:rPr>
      </w:pPr>
      <w:r w:rsidRPr="00AE1A71">
        <w:rPr>
          <w:b/>
          <w:bCs/>
          <w:color w:val="000080"/>
          <w:sz w:val="28"/>
          <w:szCs w:val="28"/>
          <w:lang w:val="en-GB"/>
        </w:rPr>
        <w:t>Question 6</w:t>
      </w:r>
    </w:p>
    <w:p w:rsidR="004C1977" w:rsidRPr="00AE1A71" w:rsidRDefault="004C1977" w:rsidP="00AE1A71">
      <w:pPr>
        <w:pStyle w:val="Corpsdetexte"/>
        <w:keepNext/>
        <w:spacing w:before="120" w:after="120"/>
        <w:rPr>
          <w:b/>
          <w:bCs/>
          <w:i/>
          <w:color w:val="000080"/>
          <w:sz w:val="26"/>
          <w:szCs w:val="26"/>
          <w:lang w:val="en-GB"/>
        </w:rPr>
      </w:pPr>
      <w:r w:rsidRPr="00AE1A71">
        <w:rPr>
          <w:b/>
          <w:bCs/>
          <w:i/>
          <w:color w:val="000080"/>
          <w:sz w:val="26"/>
          <w:szCs w:val="26"/>
          <w:lang w:val="en-GB"/>
        </w:rPr>
        <w:t>How were you affected by the implementation of IFRS 8?</w:t>
      </w:r>
    </w:p>
    <w:p w:rsidR="004C1977" w:rsidRPr="000C5FE4" w:rsidRDefault="004C1977" w:rsidP="000C5FE4">
      <w:pPr>
        <w:pStyle w:val="Corpsdetexte"/>
        <w:keepNext/>
        <w:spacing w:before="120"/>
        <w:ind w:left="142"/>
        <w:rPr>
          <w:bCs/>
          <w:i/>
          <w:color w:val="000080"/>
          <w:lang w:val="en-GB"/>
        </w:rPr>
      </w:pPr>
      <w:r w:rsidRPr="000C5FE4">
        <w:rPr>
          <w:bCs/>
          <w:i/>
          <w:color w:val="000080"/>
          <w:lang w:val="en-GB"/>
        </w:rPr>
        <w:t>Preparers: in answering this question please focus on whether you incurred</w:t>
      </w:r>
      <w:r w:rsidR="00AE175D" w:rsidRPr="000C5FE4">
        <w:rPr>
          <w:bCs/>
          <w:i/>
          <w:color w:val="000080"/>
          <w:lang w:val="en-GB"/>
        </w:rPr>
        <w:t xml:space="preserve"> </w:t>
      </w:r>
      <w:r w:rsidRPr="000C5FE4">
        <w:rPr>
          <w:bCs/>
          <w:i/>
          <w:color w:val="000080"/>
          <w:lang w:val="en-GB"/>
        </w:rPr>
        <w:t>significant unexpected costs, either as a one-time expense when implementing</w:t>
      </w:r>
      <w:r w:rsidR="00AE175D" w:rsidRPr="000C5FE4">
        <w:rPr>
          <w:bCs/>
          <w:i/>
          <w:color w:val="000080"/>
          <w:lang w:val="en-GB"/>
        </w:rPr>
        <w:t xml:space="preserve"> </w:t>
      </w:r>
      <w:r w:rsidRPr="000C5FE4">
        <w:rPr>
          <w:bCs/>
          <w:i/>
          <w:color w:val="000080"/>
          <w:lang w:val="en-GB"/>
        </w:rPr>
        <w:t>the Standard or as a recurring cost at each reporting cycle. If you did incur</w:t>
      </w:r>
      <w:r w:rsidR="00AE175D" w:rsidRPr="000C5FE4">
        <w:rPr>
          <w:bCs/>
          <w:i/>
          <w:color w:val="000080"/>
          <w:lang w:val="en-GB"/>
        </w:rPr>
        <w:t xml:space="preserve"> </w:t>
      </w:r>
      <w:r w:rsidRPr="000C5FE4">
        <w:rPr>
          <w:bCs/>
          <w:i/>
          <w:color w:val="000080"/>
          <w:lang w:val="en-GB"/>
        </w:rPr>
        <w:t>unexpected costs, please explain what these were and in what way they were</w:t>
      </w:r>
      <w:r w:rsidR="00AE175D" w:rsidRPr="000C5FE4">
        <w:rPr>
          <w:bCs/>
          <w:i/>
          <w:color w:val="000080"/>
          <w:lang w:val="en-GB"/>
        </w:rPr>
        <w:t xml:space="preserve"> </w:t>
      </w:r>
      <w:r w:rsidRPr="000C5FE4">
        <w:rPr>
          <w:bCs/>
          <w:i/>
          <w:color w:val="000080"/>
          <w:lang w:val="en-GB"/>
        </w:rPr>
        <w:t>required to comply with IFRS 8.</w:t>
      </w:r>
    </w:p>
    <w:p w:rsidR="004C1977" w:rsidRPr="000C5FE4" w:rsidRDefault="004C1977" w:rsidP="000C5FE4">
      <w:pPr>
        <w:pStyle w:val="Corpsdetexte"/>
        <w:keepNext/>
        <w:spacing w:before="120"/>
        <w:ind w:left="142"/>
        <w:rPr>
          <w:bCs/>
          <w:i/>
          <w:color w:val="000080"/>
          <w:lang w:val="en-GB"/>
        </w:rPr>
      </w:pPr>
      <w:r w:rsidRPr="000C5FE4">
        <w:rPr>
          <w:bCs/>
          <w:i/>
          <w:color w:val="000080"/>
          <w:lang w:val="en-GB"/>
        </w:rPr>
        <w:t>In addition, we would like to know what practical difficulties you encountered,</w:t>
      </w:r>
      <w:r w:rsidR="00AE175D" w:rsidRPr="000C5FE4">
        <w:rPr>
          <w:bCs/>
          <w:i/>
          <w:color w:val="000080"/>
          <w:lang w:val="en-GB"/>
        </w:rPr>
        <w:t xml:space="preserve"> </w:t>
      </w:r>
      <w:r w:rsidRPr="000C5FE4">
        <w:rPr>
          <w:bCs/>
          <w:i/>
          <w:color w:val="000080"/>
          <w:lang w:val="en-GB"/>
        </w:rPr>
        <w:t>if any, when applying IFRS 8. Did you find that IFRS 8 is clear about all aspects</w:t>
      </w:r>
      <w:r w:rsidR="00AE175D" w:rsidRPr="000C5FE4">
        <w:rPr>
          <w:bCs/>
          <w:i/>
          <w:color w:val="000080"/>
          <w:lang w:val="en-GB"/>
        </w:rPr>
        <w:t xml:space="preserve"> </w:t>
      </w:r>
      <w:r w:rsidRPr="000C5FE4">
        <w:rPr>
          <w:bCs/>
          <w:i/>
          <w:color w:val="000080"/>
          <w:lang w:val="en-GB"/>
        </w:rPr>
        <w:t>of the requirements, such as the identification of operating segments,</w:t>
      </w:r>
      <w:r w:rsidR="00AE175D" w:rsidRPr="000C5FE4">
        <w:rPr>
          <w:bCs/>
          <w:i/>
          <w:color w:val="000080"/>
          <w:lang w:val="en-GB"/>
        </w:rPr>
        <w:t xml:space="preserve"> </w:t>
      </w:r>
      <w:r w:rsidRPr="000C5FE4">
        <w:rPr>
          <w:bCs/>
          <w:i/>
          <w:color w:val="000080"/>
          <w:lang w:val="en-GB"/>
        </w:rPr>
        <w:t>aggregation of segments and the nature of the CODM? If IFRS 8 is not clear,</w:t>
      </w:r>
      <w:r w:rsidR="00AE175D" w:rsidRPr="000C5FE4">
        <w:rPr>
          <w:bCs/>
          <w:i/>
          <w:color w:val="000080"/>
          <w:lang w:val="en-GB"/>
        </w:rPr>
        <w:t xml:space="preserve"> </w:t>
      </w:r>
      <w:r w:rsidRPr="000C5FE4">
        <w:rPr>
          <w:bCs/>
          <w:i/>
          <w:color w:val="000080"/>
          <w:lang w:val="en-GB"/>
        </w:rPr>
        <w:t>please provide details of your experience.</w:t>
      </w:r>
    </w:p>
    <w:p w:rsidR="00B069F1" w:rsidRPr="000C5FE4" w:rsidRDefault="00B069F1" w:rsidP="000C5FE4">
      <w:pPr>
        <w:pStyle w:val="Corpsdetexte"/>
        <w:keepNext/>
        <w:spacing w:before="120"/>
        <w:ind w:left="360"/>
        <w:rPr>
          <w:bCs/>
          <w:color w:val="000080"/>
          <w:lang w:val="en-GB"/>
        </w:rPr>
      </w:pPr>
      <w:r w:rsidRPr="000C5FE4">
        <w:rPr>
          <w:bCs/>
          <w:color w:val="000080"/>
          <w:lang w:val="en-GB"/>
        </w:rPr>
        <w:t>As mentioned above, some have found it difficult to identify the CODM in the context of a matrix organisation.</w:t>
      </w:r>
      <w:r w:rsidR="00B059FD" w:rsidRPr="000C5FE4">
        <w:rPr>
          <w:bCs/>
          <w:color w:val="000080"/>
          <w:lang w:val="en-GB"/>
        </w:rPr>
        <w:t xml:space="preserve">  In such organisations reporting to top management can be along different routes simultaneously.</w:t>
      </w:r>
    </w:p>
    <w:p w:rsidR="00720984" w:rsidRPr="000C5FE4" w:rsidRDefault="00B069F1" w:rsidP="000C5FE4">
      <w:pPr>
        <w:pStyle w:val="Corpsdetexte"/>
        <w:keepNext/>
        <w:spacing w:before="120"/>
        <w:ind w:left="360"/>
        <w:rPr>
          <w:bCs/>
          <w:color w:val="000080"/>
          <w:lang w:val="en-GB"/>
        </w:rPr>
      </w:pPr>
      <w:r w:rsidRPr="000C5FE4">
        <w:rPr>
          <w:bCs/>
          <w:color w:val="000080"/>
          <w:lang w:val="en-GB"/>
        </w:rPr>
        <w:t xml:space="preserve">Some </w:t>
      </w:r>
      <w:r w:rsidR="006B37F6" w:rsidRPr="000C5FE4">
        <w:rPr>
          <w:bCs/>
          <w:color w:val="000080"/>
          <w:lang w:val="en-GB"/>
        </w:rPr>
        <w:t>think</w:t>
      </w:r>
      <w:r w:rsidRPr="000C5FE4">
        <w:rPr>
          <w:bCs/>
          <w:color w:val="000080"/>
          <w:lang w:val="en-GB"/>
        </w:rPr>
        <w:t xml:space="preserve"> there is a tension created by the use of the CODM approach, in that it is clearly the case that in the normal course of its role the management of the entity will receive more detailed information than just the key performance </w:t>
      </w:r>
      <w:r w:rsidR="001D37AB" w:rsidRPr="000C5FE4">
        <w:rPr>
          <w:bCs/>
          <w:color w:val="000080"/>
          <w:lang w:val="en-GB"/>
        </w:rPr>
        <w:t xml:space="preserve">measures </w:t>
      </w:r>
      <w:r w:rsidR="00A901EC" w:rsidRPr="000C5FE4">
        <w:rPr>
          <w:bCs/>
          <w:color w:val="000080"/>
          <w:lang w:val="en-GB"/>
        </w:rPr>
        <w:t>identified</w:t>
      </w:r>
      <w:r w:rsidR="001D37AB" w:rsidRPr="000C5FE4">
        <w:rPr>
          <w:bCs/>
          <w:color w:val="000080"/>
          <w:lang w:val="en-GB"/>
        </w:rPr>
        <w:t xml:space="preserve"> in IFRS 8</w:t>
      </w:r>
      <w:r w:rsidR="006B37F6" w:rsidRPr="000C5FE4">
        <w:rPr>
          <w:bCs/>
          <w:color w:val="000080"/>
          <w:lang w:val="en-GB"/>
        </w:rPr>
        <w:t xml:space="preserve"> and some users appear to interpret the requirements of IFRS 8 to be that all such information should be reported.</w:t>
      </w:r>
      <w:r w:rsidR="001C49C0" w:rsidRPr="000C5FE4">
        <w:rPr>
          <w:bCs/>
          <w:color w:val="000080"/>
          <w:lang w:val="en-GB"/>
        </w:rPr>
        <w:t xml:space="preserve">  </w:t>
      </w:r>
      <w:r w:rsidR="006B37F6" w:rsidRPr="000C5FE4">
        <w:rPr>
          <w:bCs/>
          <w:color w:val="000080"/>
          <w:lang w:val="en-GB"/>
        </w:rPr>
        <w:t xml:space="preserve"> We think that paragraph 23 makes it clear which information should be disclosed</w:t>
      </w:r>
      <w:r w:rsidR="00A901EC" w:rsidRPr="000C5FE4">
        <w:rPr>
          <w:bCs/>
          <w:color w:val="000080"/>
          <w:lang w:val="en-GB"/>
        </w:rPr>
        <w:t>.  However</w:t>
      </w:r>
      <w:r w:rsidR="006B37F6" w:rsidRPr="000C5FE4">
        <w:rPr>
          <w:bCs/>
          <w:color w:val="000080"/>
          <w:lang w:val="en-GB"/>
        </w:rPr>
        <w:t xml:space="preserve">, in order to </w:t>
      </w:r>
      <w:r w:rsidR="00A901EC" w:rsidRPr="000C5FE4">
        <w:rPr>
          <w:bCs/>
          <w:color w:val="000080"/>
          <w:lang w:val="en-GB"/>
        </w:rPr>
        <w:t>avoid the tension referred to, it may be helpful for the standard to state that not all the information the CODM receives is to be disclosed, even if that information informs h</w:t>
      </w:r>
      <w:r w:rsidR="006B37F6" w:rsidRPr="000C5FE4">
        <w:rPr>
          <w:bCs/>
          <w:color w:val="000080"/>
          <w:lang w:val="en-GB"/>
        </w:rPr>
        <w:t>is</w:t>
      </w:r>
      <w:r w:rsidR="00A901EC" w:rsidRPr="000C5FE4">
        <w:rPr>
          <w:bCs/>
          <w:color w:val="000080"/>
          <w:lang w:val="en-GB"/>
        </w:rPr>
        <w:t xml:space="preserve"> or her decisions about resource allocation.  </w:t>
      </w:r>
    </w:p>
    <w:p w:rsidR="00B069F1" w:rsidRPr="000C5FE4" w:rsidRDefault="00A901EC" w:rsidP="000C5FE4">
      <w:pPr>
        <w:pStyle w:val="Corpsdetexte"/>
        <w:keepNext/>
        <w:spacing w:before="120"/>
        <w:ind w:left="360"/>
        <w:rPr>
          <w:bCs/>
          <w:color w:val="000080"/>
          <w:lang w:val="en-GB"/>
        </w:rPr>
      </w:pPr>
      <w:r w:rsidRPr="000C5FE4">
        <w:rPr>
          <w:bCs/>
          <w:color w:val="000080"/>
          <w:lang w:val="en-GB"/>
        </w:rPr>
        <w:t>Judgement has to be applied by the entity in determining the information which is essential for the user.</w:t>
      </w:r>
      <w:r w:rsidR="00720984" w:rsidRPr="000C5FE4">
        <w:rPr>
          <w:bCs/>
          <w:color w:val="000080"/>
          <w:lang w:val="en-GB"/>
        </w:rPr>
        <w:t xml:space="preserve">  We think that a good starting-point for identifying what is essential to the user is to consider what is provided in regular external communication about financial performance, such as earnings statements and presentations to analysts, the content of which evolves as a result of the dialogue between management and analysts.  It may be useful to incorporate this </w:t>
      </w:r>
      <w:r w:rsidR="00722A78" w:rsidRPr="000C5FE4">
        <w:rPr>
          <w:bCs/>
          <w:color w:val="000080"/>
          <w:lang w:val="en-GB"/>
        </w:rPr>
        <w:t xml:space="preserve">as a </w:t>
      </w:r>
      <w:r w:rsidR="00B5512B" w:rsidRPr="000C5FE4">
        <w:rPr>
          <w:bCs/>
          <w:color w:val="000080"/>
          <w:lang w:val="en-GB"/>
        </w:rPr>
        <w:t xml:space="preserve">reference </w:t>
      </w:r>
      <w:r w:rsidR="00722A78" w:rsidRPr="000C5FE4">
        <w:rPr>
          <w:bCs/>
          <w:color w:val="000080"/>
          <w:lang w:val="en-GB"/>
        </w:rPr>
        <w:t>in</w:t>
      </w:r>
      <w:r w:rsidR="00B5512B" w:rsidRPr="000C5FE4">
        <w:rPr>
          <w:bCs/>
          <w:color w:val="000080"/>
          <w:lang w:val="en-GB"/>
        </w:rPr>
        <w:t xml:space="preserve"> guidance in the standard.</w:t>
      </w:r>
    </w:p>
    <w:p w:rsidR="00BF4413" w:rsidRPr="000C5FE4" w:rsidRDefault="00BF4413" w:rsidP="000C5FE4">
      <w:pPr>
        <w:pStyle w:val="Corpsdetexte"/>
        <w:keepNext/>
        <w:spacing w:before="120"/>
        <w:ind w:left="360"/>
        <w:rPr>
          <w:bCs/>
          <w:color w:val="000080"/>
          <w:lang w:val="en-GB"/>
        </w:rPr>
      </w:pPr>
      <w:r w:rsidRPr="000C5FE4">
        <w:rPr>
          <w:bCs/>
          <w:color w:val="000080"/>
          <w:lang w:val="en-GB"/>
        </w:rPr>
        <w:t>As a final comment, we repeat a comment we have made in the past, which is that the entity’s management must retain the ability not to disclose information of a commercially or economically sensitive nature, if it judges that detailed disclosure might be prejudicial to the entity’s business.</w:t>
      </w:r>
    </w:p>
    <w:p w:rsidR="00DB70DC" w:rsidRDefault="00DB70DC" w:rsidP="000C65FB">
      <w:pPr>
        <w:shd w:val="clear" w:color="auto" w:fill="FFFFFF"/>
        <w:jc w:val="both"/>
      </w:pPr>
    </w:p>
    <w:p w:rsidR="000C5FE4" w:rsidRDefault="000C5FE4">
      <w:pPr>
        <w:spacing w:after="200" w:line="276" w:lineRule="auto"/>
        <w:rPr>
          <w:rFonts w:eastAsia="Times New Roman"/>
          <w:b/>
          <w:bCs/>
          <w:snapToGrid w:val="0"/>
          <w:color w:val="000080"/>
          <w:sz w:val="28"/>
          <w:szCs w:val="28"/>
          <w:lang w:eastAsia="fr-FR"/>
        </w:rPr>
      </w:pPr>
      <w:r>
        <w:rPr>
          <w:b/>
          <w:bCs/>
          <w:color w:val="000080"/>
          <w:sz w:val="28"/>
          <w:szCs w:val="28"/>
        </w:rPr>
        <w:br w:type="page"/>
      </w:r>
    </w:p>
    <w:p w:rsidR="00DB70DC" w:rsidRPr="00AE1A71" w:rsidRDefault="00B059FD" w:rsidP="00AE1A71">
      <w:pPr>
        <w:pStyle w:val="Corpsdetexte"/>
        <w:keepNext/>
        <w:spacing w:before="240" w:after="120"/>
        <w:rPr>
          <w:b/>
          <w:bCs/>
          <w:color w:val="000080"/>
          <w:sz w:val="28"/>
          <w:szCs w:val="28"/>
          <w:lang w:val="en-GB"/>
        </w:rPr>
      </w:pPr>
      <w:r w:rsidRPr="00AE1A71">
        <w:rPr>
          <w:b/>
          <w:bCs/>
          <w:color w:val="000080"/>
          <w:sz w:val="28"/>
          <w:szCs w:val="28"/>
          <w:lang w:val="en-GB"/>
        </w:rPr>
        <w:t>Other comments</w:t>
      </w:r>
    </w:p>
    <w:p w:rsidR="00C43D14" w:rsidRPr="000C5FE4" w:rsidRDefault="00C43D14" w:rsidP="000C5FE4">
      <w:pPr>
        <w:pStyle w:val="Corpsdetexte"/>
        <w:keepNext/>
        <w:spacing w:before="120"/>
        <w:ind w:left="360"/>
        <w:rPr>
          <w:bCs/>
          <w:color w:val="000080"/>
          <w:lang w:val="en-GB"/>
        </w:rPr>
      </w:pPr>
      <w:r w:rsidRPr="000C5FE4">
        <w:rPr>
          <w:bCs/>
          <w:color w:val="000080"/>
          <w:lang w:val="en-GB"/>
        </w:rPr>
        <w:t xml:space="preserve">IFRS 8 is a standard which is largely convergent with the equivalent US standard, SFAS 131.  </w:t>
      </w:r>
      <w:r w:rsidR="00BA1521" w:rsidRPr="000C5FE4">
        <w:rPr>
          <w:bCs/>
          <w:color w:val="000080"/>
          <w:lang w:val="en-GB"/>
        </w:rPr>
        <w:t>O</w:t>
      </w:r>
      <w:r w:rsidR="00551625" w:rsidRPr="000C5FE4">
        <w:rPr>
          <w:bCs/>
          <w:color w:val="000080"/>
          <w:lang w:val="en-GB"/>
        </w:rPr>
        <w:t>ur members generally</w:t>
      </w:r>
      <w:r w:rsidRPr="000C5FE4">
        <w:rPr>
          <w:bCs/>
          <w:color w:val="000080"/>
          <w:lang w:val="en-GB"/>
        </w:rPr>
        <w:t xml:space="preserve"> are not aware of any widespread major divergences w</w:t>
      </w:r>
      <w:r w:rsidR="00551625" w:rsidRPr="000C5FE4">
        <w:rPr>
          <w:bCs/>
          <w:color w:val="000080"/>
          <w:lang w:val="en-GB"/>
        </w:rPr>
        <w:t>ith application of that standard</w:t>
      </w:r>
      <w:r w:rsidR="001D3231" w:rsidRPr="000C5FE4">
        <w:rPr>
          <w:bCs/>
          <w:color w:val="000080"/>
          <w:lang w:val="en-GB"/>
        </w:rPr>
        <w:t>.</w:t>
      </w:r>
      <w:r w:rsidR="00BA1521" w:rsidRPr="000C5FE4">
        <w:rPr>
          <w:bCs/>
          <w:color w:val="000080"/>
          <w:lang w:val="en-GB"/>
        </w:rPr>
        <w:t xml:space="preserve">   </w:t>
      </w:r>
    </w:p>
    <w:p w:rsidR="00C8612F" w:rsidRDefault="00C8612F" w:rsidP="000C5FE4">
      <w:pPr>
        <w:pStyle w:val="Corpsdetexte"/>
        <w:keepNext/>
        <w:spacing w:before="120"/>
        <w:ind w:left="360"/>
        <w:rPr>
          <w:bCs/>
          <w:color w:val="000080"/>
          <w:lang w:val="en-GB"/>
        </w:rPr>
      </w:pPr>
      <w:r w:rsidRPr="000C5FE4">
        <w:rPr>
          <w:bCs/>
          <w:color w:val="000080"/>
          <w:lang w:val="en-GB"/>
        </w:rPr>
        <w:t xml:space="preserve">Finally, we do not think that IFRS 8 should be amended to accommodate </w:t>
      </w:r>
      <w:r w:rsidR="00857920" w:rsidRPr="000C5FE4">
        <w:rPr>
          <w:bCs/>
          <w:color w:val="000080"/>
          <w:lang w:val="en-GB"/>
        </w:rPr>
        <w:t xml:space="preserve">detailed information required by regulators or by pressure-groups.  In our view, such targeted items should not be incorporated in the accounting requirements for general financial statements as this will inevitably increase the cost of, and cause and delay in, the production of the financial statements. </w:t>
      </w:r>
    </w:p>
    <w:p w:rsidR="000C5FE4" w:rsidRDefault="000C5FE4" w:rsidP="000C5FE4">
      <w:pPr>
        <w:pStyle w:val="Corpsdetexte"/>
        <w:keepNext/>
        <w:spacing w:before="120"/>
        <w:ind w:left="360"/>
        <w:rPr>
          <w:bCs/>
          <w:color w:val="000080"/>
          <w:lang w:val="en-GB"/>
        </w:rPr>
      </w:pPr>
    </w:p>
    <w:p w:rsidR="000C5FE4" w:rsidRDefault="000C5FE4" w:rsidP="000C5FE4">
      <w:pPr>
        <w:pStyle w:val="Corpsdetexte"/>
        <w:keepNext/>
        <w:spacing w:before="120"/>
        <w:ind w:left="360"/>
        <w:rPr>
          <w:bCs/>
          <w:color w:val="000080"/>
          <w:lang w:val="en-GB"/>
        </w:rPr>
      </w:pPr>
    </w:p>
    <w:p w:rsidR="000C5FE4" w:rsidRDefault="000C5FE4" w:rsidP="000C5FE4">
      <w:pPr>
        <w:pStyle w:val="Corpsdetexte"/>
        <w:keepNext/>
        <w:spacing w:before="120"/>
        <w:ind w:left="360"/>
        <w:jc w:val="center"/>
        <w:rPr>
          <w:bCs/>
          <w:color w:val="000080"/>
          <w:lang w:val="en-GB"/>
        </w:rPr>
      </w:pPr>
      <w:r>
        <w:rPr>
          <w:bCs/>
          <w:color w:val="000080"/>
          <w:lang w:val="en-GB"/>
        </w:rPr>
        <w:sym w:font="Wingdings" w:char="F0D4"/>
      </w:r>
      <w:r>
        <w:rPr>
          <w:bCs/>
          <w:color w:val="000080"/>
          <w:lang w:val="en-GB"/>
        </w:rPr>
        <w:sym w:font="Wingdings" w:char="F0D4"/>
      </w:r>
      <w:r>
        <w:rPr>
          <w:bCs/>
          <w:color w:val="000080"/>
          <w:lang w:val="en-GB"/>
        </w:rPr>
        <w:sym w:font="Wingdings" w:char="F0D4"/>
      </w:r>
    </w:p>
    <w:p w:rsidR="000C5FE4" w:rsidRPr="000C5FE4" w:rsidRDefault="000C5FE4" w:rsidP="000C5FE4">
      <w:pPr>
        <w:pStyle w:val="Corpsdetexte"/>
        <w:keepNext/>
        <w:spacing w:before="120"/>
        <w:ind w:left="360"/>
        <w:jc w:val="center"/>
        <w:rPr>
          <w:bCs/>
          <w:color w:val="000080"/>
          <w:lang w:val="en-GB"/>
        </w:rPr>
      </w:pPr>
      <w:r>
        <w:rPr>
          <w:bCs/>
          <w:color w:val="000080"/>
          <w:lang w:val="en-GB"/>
        </w:rPr>
        <w:sym w:font="Wingdings" w:char="F0D4"/>
      </w:r>
    </w:p>
    <w:sectPr w:rsidR="000C5FE4" w:rsidRPr="000C5FE4" w:rsidSect="000C5FE4">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C12" w:rsidRDefault="007C4C12" w:rsidP="000C5FE4">
      <w:r>
        <w:separator/>
      </w:r>
    </w:p>
  </w:endnote>
  <w:endnote w:type="continuationSeparator" w:id="0">
    <w:p w:rsidR="007C4C12" w:rsidRDefault="007C4C12" w:rsidP="000C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LTStd-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FE4" w:rsidRDefault="003A7E6B">
    <w:pPr>
      <w:pStyle w:val="Pieddepage"/>
      <w:rPr>
        <w:color w:val="000000" w:themeColor="text1"/>
      </w:rPr>
    </w:pPr>
    <w:r>
      <w:rPr>
        <w:noProof/>
        <w:lang w:val="fr-FR" w:eastAsia="fr-FR"/>
      </w:rPr>
      <mc:AlternateContent>
        <mc:Choice Requires="wps">
          <w:drawing>
            <wp:anchor distT="0" distB="0" distL="114300" distR="114300" simplePos="0" relativeHeight="251659264" behindDoc="0" locked="0" layoutInCell="1" allowOverlap="1">
              <wp:simplePos x="0" y="0"/>
              <wp:positionH relativeFrom="margin">
                <wp:posOffset>5795010</wp:posOffset>
              </wp:positionH>
              <wp:positionV relativeFrom="bottomMargin">
                <wp:posOffset>99695</wp:posOffset>
              </wp:positionV>
              <wp:extent cx="574040" cy="237490"/>
              <wp:effectExtent l="0" t="0" r="0" b="3810"/>
              <wp:wrapNone/>
              <wp:docPr id="5"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040" cy="237490"/>
                      </a:xfrm>
                      <a:prstGeom prst="rect">
                        <a:avLst/>
                      </a:prstGeom>
                      <a:noFill/>
                      <a:ln w="6350">
                        <a:noFill/>
                      </a:ln>
                      <a:effectLst/>
                    </wps:spPr>
                    <wps:txbx>
                      <w:txbxContent>
                        <w:p w:rsidR="000C5FE4" w:rsidRPr="000C5FE4" w:rsidRDefault="000C5FE4">
                          <w:pPr>
                            <w:pStyle w:val="Pieddepage"/>
                            <w:jc w:val="right"/>
                            <w:rPr>
                              <w:rFonts w:ascii="Optima" w:hAnsi="Optima"/>
                              <w:color w:val="1F497D" w:themeColor="text2"/>
                              <w:sz w:val="20"/>
                              <w:szCs w:val="20"/>
                            </w:rPr>
                          </w:pPr>
                          <w:r w:rsidRPr="000C5FE4">
                            <w:rPr>
                              <w:rFonts w:ascii="Optima" w:hAnsi="Optima"/>
                              <w:color w:val="1F497D" w:themeColor="text2"/>
                              <w:sz w:val="20"/>
                              <w:szCs w:val="20"/>
                            </w:rPr>
                            <w:fldChar w:fldCharType="begin"/>
                          </w:r>
                          <w:r w:rsidRPr="000C5FE4">
                            <w:rPr>
                              <w:rFonts w:ascii="Optima" w:hAnsi="Optima"/>
                              <w:color w:val="1F497D" w:themeColor="text2"/>
                              <w:sz w:val="20"/>
                              <w:szCs w:val="20"/>
                            </w:rPr>
                            <w:instrText>PAGE  \* Arabic  \* MERGEFORMAT</w:instrText>
                          </w:r>
                          <w:r w:rsidRPr="000C5FE4">
                            <w:rPr>
                              <w:rFonts w:ascii="Optima" w:hAnsi="Optima"/>
                              <w:color w:val="1F497D" w:themeColor="text2"/>
                              <w:sz w:val="20"/>
                              <w:szCs w:val="20"/>
                            </w:rPr>
                            <w:fldChar w:fldCharType="separate"/>
                          </w:r>
                          <w:r w:rsidR="00CD7626" w:rsidRPr="00CD7626">
                            <w:rPr>
                              <w:rFonts w:ascii="Optima" w:hAnsi="Optima"/>
                              <w:noProof/>
                              <w:color w:val="1F497D" w:themeColor="text2"/>
                              <w:sz w:val="20"/>
                              <w:szCs w:val="20"/>
                              <w:lang w:val="fr-FR"/>
                            </w:rPr>
                            <w:t>2</w:t>
                          </w:r>
                          <w:r w:rsidRPr="000C5FE4">
                            <w:rPr>
                              <w:rFonts w:ascii="Optima" w:hAnsi="Optima"/>
                              <w:color w:val="1F497D" w:themeColor="text2"/>
                              <w:sz w:val="20"/>
                              <w:szCs w:val="20"/>
                            </w:rPr>
                            <w:fldChar w:fldCharType="end"/>
                          </w:r>
                          <w:r w:rsidRPr="000C5FE4">
                            <w:rPr>
                              <w:rFonts w:ascii="Optima" w:hAnsi="Optima"/>
                              <w:color w:val="1F497D" w:themeColor="text2"/>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6" o:spid="_x0000_s1026" type="#_x0000_t202" style="position:absolute;margin-left:456.3pt;margin-top:7.85pt;width:45.2pt;height:1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" filled="f" stroked="f" strokeweight=".5pt">
              <v:path arrowok="t"/>
              <v:textbox style="mso-fit-shape-to-text:t">
                <w:txbxContent>
                  <w:p w:rsidR="000C5FE4" w:rsidRPr="000C5FE4" w:rsidRDefault="000C5FE4">
                    <w:pPr>
                      <w:pStyle w:val="Pieddepage"/>
                      <w:jc w:val="right"/>
                      <w:rPr>
                        <w:rFonts w:ascii="Optima" w:hAnsi="Optima"/>
                        <w:color w:val="1F497D" w:themeColor="text2"/>
                        <w:sz w:val="20"/>
                        <w:szCs w:val="20"/>
                      </w:rPr>
                    </w:pPr>
                    <w:r w:rsidRPr="000C5FE4">
                      <w:rPr>
                        <w:rFonts w:ascii="Optima" w:hAnsi="Optima"/>
                        <w:color w:val="1F497D" w:themeColor="text2"/>
                        <w:sz w:val="20"/>
                        <w:szCs w:val="20"/>
                      </w:rPr>
                      <w:fldChar w:fldCharType="begin"/>
                    </w:r>
                    <w:r w:rsidRPr="000C5FE4">
                      <w:rPr>
                        <w:rFonts w:ascii="Optima" w:hAnsi="Optima"/>
                        <w:color w:val="1F497D" w:themeColor="text2"/>
                        <w:sz w:val="20"/>
                        <w:szCs w:val="20"/>
                      </w:rPr>
                      <w:instrText>PAGE  \* Arabic  \* MERGEFORMAT</w:instrText>
                    </w:r>
                    <w:r w:rsidRPr="000C5FE4">
                      <w:rPr>
                        <w:rFonts w:ascii="Optima" w:hAnsi="Optima"/>
                        <w:color w:val="1F497D" w:themeColor="text2"/>
                        <w:sz w:val="20"/>
                        <w:szCs w:val="20"/>
                      </w:rPr>
                      <w:fldChar w:fldCharType="separate"/>
                    </w:r>
                    <w:r w:rsidR="00CD7626" w:rsidRPr="00CD7626">
                      <w:rPr>
                        <w:rFonts w:ascii="Optima" w:hAnsi="Optima"/>
                        <w:noProof/>
                        <w:color w:val="1F497D" w:themeColor="text2"/>
                        <w:sz w:val="20"/>
                        <w:szCs w:val="20"/>
                        <w:lang w:val="fr-FR"/>
                      </w:rPr>
                      <w:t>2</w:t>
                    </w:r>
                    <w:r w:rsidRPr="000C5FE4">
                      <w:rPr>
                        <w:rFonts w:ascii="Optima" w:hAnsi="Optima"/>
                        <w:color w:val="1F497D" w:themeColor="text2"/>
                        <w:sz w:val="20"/>
                        <w:szCs w:val="20"/>
                      </w:rPr>
                      <w:fldChar w:fldCharType="end"/>
                    </w:r>
                    <w:r w:rsidRPr="000C5FE4">
                      <w:rPr>
                        <w:rFonts w:ascii="Optima" w:hAnsi="Optima"/>
                        <w:color w:val="1F497D" w:themeColor="text2"/>
                        <w:sz w:val="20"/>
                        <w:szCs w:val="20"/>
                      </w:rPr>
                      <w:t>/6</w:t>
                    </w:r>
                  </w:p>
                </w:txbxContent>
              </v:textbox>
              <w10:wrap anchorx="margin" anchory="margin"/>
            </v:shape>
          </w:pict>
        </mc:Fallback>
      </mc:AlternateContent>
    </w:r>
    <w:sdt>
      <w:sdtPr>
        <w:rPr>
          <w:rFonts w:ascii="Optima" w:hAnsi="Optima"/>
          <w:b/>
          <w:i/>
          <w:color w:val="1F497D" w:themeColor="text2"/>
          <w:sz w:val="20"/>
          <w:szCs w:val="20"/>
        </w:rPr>
        <w:alias w:val="Auteur"/>
        <w:id w:val="54214575"/>
        <w:placeholder>
          <w:docPart w:val="4FB2F1968C274911BC5BA01E412706C8"/>
        </w:placeholder>
        <w:dataBinding w:prefixMappings="xmlns:ns0='http://schemas.openxmlformats.org/package/2006/metadata/core-properties' xmlns:ns1='http://purl.org/dc/elements/1.1/'" w:xpath="/ns0:coreProperties[1]/ns1:creator[1]" w:storeItemID="{6C3C8BC8-F283-45AE-878A-BAB7291924A1}"/>
        <w:text/>
      </w:sdtPr>
      <w:sdtEndPr/>
      <w:sdtContent>
        <w:r w:rsidR="000C5FE4" w:rsidRPr="000C5FE4">
          <w:rPr>
            <w:rFonts w:ascii="Optima" w:hAnsi="Optima"/>
            <w:b/>
            <w:i/>
            <w:color w:val="1F497D" w:themeColor="text2"/>
            <w:sz w:val="20"/>
            <w:szCs w:val="20"/>
          </w:rPr>
          <w:t>ACTEO, AFEP &amp; MEDEF - Post-implementation Review: IFRS 8 Operating Segments</w:t>
        </w:r>
        <w:r>
          <w:rPr>
            <w:rFonts w:ascii="Optima" w:hAnsi="Optima"/>
            <w:b/>
            <w:i/>
            <w:color w:val="1F497D" w:themeColor="text2"/>
            <w:sz w:val="20"/>
            <w:szCs w:val="20"/>
          </w:rPr>
          <w:t xml:space="preserve"> – 16.11.2012</w:t>
        </w:r>
      </w:sdtContent>
    </w:sdt>
  </w:p>
  <w:p w:rsidR="000C5FE4" w:rsidRDefault="003A7E6B">
    <w:pPr>
      <w:pStyle w:val="Pieddepage"/>
    </w:pPr>
    <w:r>
      <w:rPr>
        <w:noProof/>
        <w:lang w:val="fr-FR" w:eastAsia="fr-FR"/>
      </w:rPr>
      <mc:AlternateContent>
        <mc:Choice Requires="wps">
          <w:drawing>
            <wp:anchor distT="91440" distB="91440" distL="114300" distR="114300" simplePos="0" relativeHeight="251660288" behindDoc="1" locked="0" layoutInCell="1" allowOverlap="1">
              <wp:simplePos x="0" y="0"/>
              <wp:positionH relativeFrom="margin">
                <wp:align>center</wp:align>
              </wp:positionH>
              <wp:positionV relativeFrom="bottomMargin">
                <wp:align>top</wp:align>
              </wp:positionV>
              <wp:extent cx="5731510" cy="36195"/>
              <wp:effectExtent l="0" t="0" r="2540" b="1905"/>
              <wp:wrapSquare wrapText="bothSides"/>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151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51.3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C12" w:rsidRDefault="007C4C12" w:rsidP="000C5FE4">
      <w:r>
        <w:separator/>
      </w:r>
    </w:p>
  </w:footnote>
  <w:footnote w:type="continuationSeparator" w:id="0">
    <w:p w:rsidR="007C4C12" w:rsidRDefault="007C4C12" w:rsidP="000C5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87E89"/>
    <w:multiLevelType w:val="hybridMultilevel"/>
    <w:tmpl w:val="215055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91D140A"/>
    <w:multiLevelType w:val="hybridMultilevel"/>
    <w:tmpl w:val="085CF18C"/>
    <w:lvl w:ilvl="0" w:tplc="34482CAA">
      <w:start w:val="1"/>
      <w:numFmt w:val="lowerLetter"/>
      <w:lvlText w:val="%1."/>
      <w:lvlJc w:val="left"/>
      <w:pPr>
        <w:ind w:left="1080" w:hanging="360"/>
      </w:pPr>
      <w:rPr>
        <w:rFonts w:hint="default"/>
        <w:b/>
        <w:i w:val="0"/>
        <w:color w:val="17365D" w:themeColor="text2" w:themeShade="BF"/>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BD"/>
    <w:rsid w:val="0006575F"/>
    <w:rsid w:val="00080D88"/>
    <w:rsid w:val="000858A2"/>
    <w:rsid w:val="000C5FE4"/>
    <w:rsid w:val="000C65FB"/>
    <w:rsid w:val="00186548"/>
    <w:rsid w:val="001C49C0"/>
    <w:rsid w:val="001D3231"/>
    <w:rsid w:val="001D37AB"/>
    <w:rsid w:val="00220329"/>
    <w:rsid w:val="00231D6A"/>
    <w:rsid w:val="00237DF1"/>
    <w:rsid w:val="002A0FB5"/>
    <w:rsid w:val="00310123"/>
    <w:rsid w:val="003A5F8E"/>
    <w:rsid w:val="003A7E6B"/>
    <w:rsid w:val="003E771F"/>
    <w:rsid w:val="00433ECB"/>
    <w:rsid w:val="00441E57"/>
    <w:rsid w:val="00456143"/>
    <w:rsid w:val="0045641D"/>
    <w:rsid w:val="00462850"/>
    <w:rsid w:val="0047611D"/>
    <w:rsid w:val="004B0E5E"/>
    <w:rsid w:val="004C1977"/>
    <w:rsid w:val="004D0E3D"/>
    <w:rsid w:val="004F72C1"/>
    <w:rsid w:val="005018B8"/>
    <w:rsid w:val="0050343F"/>
    <w:rsid w:val="00551625"/>
    <w:rsid w:val="005B5B53"/>
    <w:rsid w:val="005E1BB3"/>
    <w:rsid w:val="006647FF"/>
    <w:rsid w:val="006B37F6"/>
    <w:rsid w:val="006F0C1D"/>
    <w:rsid w:val="006F0D21"/>
    <w:rsid w:val="00701B46"/>
    <w:rsid w:val="00711977"/>
    <w:rsid w:val="00720984"/>
    <w:rsid w:val="00722A78"/>
    <w:rsid w:val="007251B4"/>
    <w:rsid w:val="00727CCE"/>
    <w:rsid w:val="00745075"/>
    <w:rsid w:val="007B45EE"/>
    <w:rsid w:val="007C4C12"/>
    <w:rsid w:val="008058C1"/>
    <w:rsid w:val="00837757"/>
    <w:rsid w:val="00857920"/>
    <w:rsid w:val="008C75C2"/>
    <w:rsid w:val="008D24F6"/>
    <w:rsid w:val="009071E3"/>
    <w:rsid w:val="00917962"/>
    <w:rsid w:val="009653DF"/>
    <w:rsid w:val="00967E36"/>
    <w:rsid w:val="00994602"/>
    <w:rsid w:val="009F05E7"/>
    <w:rsid w:val="00A110DC"/>
    <w:rsid w:val="00A228B5"/>
    <w:rsid w:val="00A2711A"/>
    <w:rsid w:val="00A5720B"/>
    <w:rsid w:val="00A901EC"/>
    <w:rsid w:val="00A90391"/>
    <w:rsid w:val="00AE175D"/>
    <w:rsid w:val="00AE1A71"/>
    <w:rsid w:val="00AE4878"/>
    <w:rsid w:val="00B059FD"/>
    <w:rsid w:val="00B069F1"/>
    <w:rsid w:val="00B15446"/>
    <w:rsid w:val="00B5512B"/>
    <w:rsid w:val="00B56978"/>
    <w:rsid w:val="00B709BC"/>
    <w:rsid w:val="00BA1521"/>
    <w:rsid w:val="00BF4413"/>
    <w:rsid w:val="00C3168D"/>
    <w:rsid w:val="00C43D14"/>
    <w:rsid w:val="00C53808"/>
    <w:rsid w:val="00C8612F"/>
    <w:rsid w:val="00C96EEF"/>
    <w:rsid w:val="00CD20A6"/>
    <w:rsid w:val="00CD7626"/>
    <w:rsid w:val="00DB4ABD"/>
    <w:rsid w:val="00DB61C3"/>
    <w:rsid w:val="00DB70DC"/>
    <w:rsid w:val="00DE2CDC"/>
    <w:rsid w:val="00E50415"/>
    <w:rsid w:val="00E97601"/>
    <w:rsid w:val="00EC0887"/>
    <w:rsid w:val="00ED7E66"/>
    <w:rsid w:val="00EE5BE0"/>
    <w:rsid w:val="00F43F5D"/>
    <w:rsid w:val="00F9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5D"/>
    <w:pPr>
      <w:spacing w:after="0" w:line="240" w:lineRule="auto"/>
    </w:pPr>
    <w:rPr>
      <w:rFonts w:ascii="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11D"/>
    <w:pPr>
      <w:ind w:left="720"/>
      <w:contextualSpacing/>
    </w:pPr>
  </w:style>
  <w:style w:type="character" w:styleId="Marquedecommentaire">
    <w:name w:val="annotation reference"/>
    <w:basedOn w:val="Policepardfaut"/>
    <w:uiPriority w:val="99"/>
    <w:semiHidden/>
    <w:unhideWhenUsed/>
    <w:rsid w:val="009F05E7"/>
    <w:rPr>
      <w:sz w:val="16"/>
      <w:szCs w:val="16"/>
    </w:rPr>
  </w:style>
  <w:style w:type="paragraph" w:styleId="Commentaire">
    <w:name w:val="annotation text"/>
    <w:basedOn w:val="Normal"/>
    <w:link w:val="CommentaireCar"/>
    <w:uiPriority w:val="99"/>
    <w:semiHidden/>
    <w:unhideWhenUsed/>
    <w:rsid w:val="009F05E7"/>
    <w:rPr>
      <w:sz w:val="20"/>
      <w:szCs w:val="20"/>
    </w:rPr>
  </w:style>
  <w:style w:type="character" w:customStyle="1" w:styleId="CommentaireCar">
    <w:name w:val="Commentaire Car"/>
    <w:basedOn w:val="Policepardfaut"/>
    <w:link w:val="Commentaire"/>
    <w:uiPriority w:val="99"/>
    <w:semiHidden/>
    <w:rsid w:val="009F05E7"/>
    <w:rPr>
      <w:rFonts w:ascii="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F05E7"/>
    <w:rPr>
      <w:b/>
      <w:bCs/>
    </w:rPr>
  </w:style>
  <w:style w:type="character" w:customStyle="1" w:styleId="ObjetducommentaireCar">
    <w:name w:val="Objet du commentaire Car"/>
    <w:basedOn w:val="CommentaireCar"/>
    <w:link w:val="Objetducommentaire"/>
    <w:uiPriority w:val="99"/>
    <w:semiHidden/>
    <w:rsid w:val="009F05E7"/>
    <w:rPr>
      <w:rFonts w:ascii="Times New Roman" w:hAnsi="Times New Roman" w:cs="Times New Roman"/>
      <w:b/>
      <w:bCs/>
      <w:sz w:val="20"/>
      <w:szCs w:val="20"/>
      <w:lang w:eastAsia="en-GB"/>
    </w:rPr>
  </w:style>
  <w:style w:type="paragraph" w:styleId="Textedebulles">
    <w:name w:val="Balloon Text"/>
    <w:basedOn w:val="Normal"/>
    <w:link w:val="TextedebullesCar"/>
    <w:uiPriority w:val="99"/>
    <w:semiHidden/>
    <w:unhideWhenUsed/>
    <w:rsid w:val="009F05E7"/>
    <w:rPr>
      <w:rFonts w:ascii="Tahoma" w:hAnsi="Tahoma" w:cs="Tahoma"/>
      <w:sz w:val="16"/>
      <w:szCs w:val="16"/>
    </w:rPr>
  </w:style>
  <w:style w:type="character" w:customStyle="1" w:styleId="TextedebullesCar">
    <w:name w:val="Texte de bulles Car"/>
    <w:basedOn w:val="Policepardfaut"/>
    <w:link w:val="Textedebulles"/>
    <w:uiPriority w:val="99"/>
    <w:semiHidden/>
    <w:rsid w:val="009F05E7"/>
    <w:rPr>
      <w:rFonts w:ascii="Tahoma" w:hAnsi="Tahoma" w:cs="Tahoma"/>
      <w:sz w:val="16"/>
      <w:szCs w:val="16"/>
      <w:lang w:eastAsia="en-GB"/>
    </w:rPr>
  </w:style>
  <w:style w:type="paragraph" w:styleId="Corpsdetexte">
    <w:name w:val="Body Text"/>
    <w:basedOn w:val="Normal"/>
    <w:link w:val="CorpsdetexteCar"/>
    <w:rsid w:val="00A5720B"/>
    <w:pPr>
      <w:jc w:val="both"/>
    </w:pPr>
    <w:rPr>
      <w:rFonts w:eastAsia="Times New Roman"/>
      <w:snapToGrid w:val="0"/>
      <w:lang w:val="fr-FR" w:eastAsia="fr-FR"/>
    </w:rPr>
  </w:style>
  <w:style w:type="character" w:customStyle="1" w:styleId="CorpsdetexteCar">
    <w:name w:val="Corps de texte Car"/>
    <w:basedOn w:val="Policepardfaut"/>
    <w:link w:val="Corpsdetexte"/>
    <w:rsid w:val="00A5720B"/>
    <w:rPr>
      <w:rFonts w:ascii="Times New Roman" w:eastAsia="Times New Roman" w:hAnsi="Times New Roman" w:cs="Times New Roman"/>
      <w:snapToGrid w:val="0"/>
      <w:sz w:val="24"/>
      <w:szCs w:val="24"/>
      <w:lang w:val="fr-FR" w:eastAsia="fr-FR"/>
    </w:rPr>
  </w:style>
  <w:style w:type="paragraph" w:styleId="En-tte">
    <w:name w:val="header"/>
    <w:basedOn w:val="Normal"/>
    <w:link w:val="En-tteCar"/>
    <w:uiPriority w:val="99"/>
    <w:unhideWhenUsed/>
    <w:rsid w:val="000C5FE4"/>
    <w:pPr>
      <w:tabs>
        <w:tab w:val="center" w:pos="4536"/>
        <w:tab w:val="right" w:pos="9072"/>
      </w:tabs>
    </w:pPr>
  </w:style>
  <w:style w:type="character" w:customStyle="1" w:styleId="En-tteCar">
    <w:name w:val="En-tête Car"/>
    <w:basedOn w:val="Policepardfaut"/>
    <w:link w:val="En-tte"/>
    <w:uiPriority w:val="99"/>
    <w:rsid w:val="000C5FE4"/>
    <w:rPr>
      <w:rFonts w:ascii="Times New Roman" w:hAnsi="Times New Roman" w:cs="Times New Roman"/>
      <w:sz w:val="24"/>
      <w:szCs w:val="24"/>
      <w:lang w:eastAsia="en-GB"/>
    </w:rPr>
  </w:style>
  <w:style w:type="paragraph" w:styleId="Pieddepage">
    <w:name w:val="footer"/>
    <w:basedOn w:val="Normal"/>
    <w:link w:val="PieddepageCar"/>
    <w:uiPriority w:val="99"/>
    <w:unhideWhenUsed/>
    <w:rsid w:val="000C5FE4"/>
    <w:pPr>
      <w:tabs>
        <w:tab w:val="center" w:pos="4536"/>
        <w:tab w:val="right" w:pos="9072"/>
      </w:tabs>
    </w:pPr>
  </w:style>
  <w:style w:type="character" w:customStyle="1" w:styleId="PieddepageCar">
    <w:name w:val="Pied de page Car"/>
    <w:basedOn w:val="Policepardfaut"/>
    <w:link w:val="Pieddepage"/>
    <w:uiPriority w:val="99"/>
    <w:rsid w:val="000C5FE4"/>
    <w:rPr>
      <w:rFonts w:ascii="Times New Roman" w:hAnsi="Times New Roman" w:cs="Times New Roman"/>
      <w:sz w:val="24"/>
      <w:szCs w:val="24"/>
      <w:lang w:eastAsia="en-GB"/>
    </w:rPr>
  </w:style>
  <w:style w:type="paragraph" w:customStyle="1" w:styleId="CE490426FA1F417B964E942E3A6CE9DE">
    <w:name w:val="CE490426FA1F417B964E942E3A6CE9DE"/>
    <w:rsid w:val="000C5FE4"/>
    <w:rPr>
      <w:rFonts w:eastAsiaTheme="minorEastAsia"/>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F5D"/>
    <w:pPr>
      <w:spacing w:after="0" w:line="240" w:lineRule="auto"/>
    </w:pPr>
    <w:rPr>
      <w:rFonts w:ascii="Times New Roman" w:hAnsi="Times New Roman" w:cs="Times New Roman"/>
      <w:sz w:val="24"/>
      <w:szCs w:val="24"/>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11D"/>
    <w:pPr>
      <w:ind w:left="720"/>
      <w:contextualSpacing/>
    </w:pPr>
  </w:style>
  <w:style w:type="character" w:styleId="Marquedecommentaire">
    <w:name w:val="annotation reference"/>
    <w:basedOn w:val="Policepardfaut"/>
    <w:uiPriority w:val="99"/>
    <w:semiHidden/>
    <w:unhideWhenUsed/>
    <w:rsid w:val="009F05E7"/>
    <w:rPr>
      <w:sz w:val="16"/>
      <w:szCs w:val="16"/>
    </w:rPr>
  </w:style>
  <w:style w:type="paragraph" w:styleId="Commentaire">
    <w:name w:val="annotation text"/>
    <w:basedOn w:val="Normal"/>
    <w:link w:val="CommentaireCar"/>
    <w:uiPriority w:val="99"/>
    <w:semiHidden/>
    <w:unhideWhenUsed/>
    <w:rsid w:val="009F05E7"/>
    <w:rPr>
      <w:sz w:val="20"/>
      <w:szCs w:val="20"/>
    </w:rPr>
  </w:style>
  <w:style w:type="character" w:customStyle="1" w:styleId="CommentaireCar">
    <w:name w:val="Commentaire Car"/>
    <w:basedOn w:val="Policepardfaut"/>
    <w:link w:val="Commentaire"/>
    <w:uiPriority w:val="99"/>
    <w:semiHidden/>
    <w:rsid w:val="009F05E7"/>
    <w:rPr>
      <w:rFonts w:ascii="Times New Roman" w:hAnsi="Times New Roman"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9F05E7"/>
    <w:rPr>
      <w:b/>
      <w:bCs/>
    </w:rPr>
  </w:style>
  <w:style w:type="character" w:customStyle="1" w:styleId="ObjetducommentaireCar">
    <w:name w:val="Objet du commentaire Car"/>
    <w:basedOn w:val="CommentaireCar"/>
    <w:link w:val="Objetducommentaire"/>
    <w:uiPriority w:val="99"/>
    <w:semiHidden/>
    <w:rsid w:val="009F05E7"/>
    <w:rPr>
      <w:rFonts w:ascii="Times New Roman" w:hAnsi="Times New Roman" w:cs="Times New Roman"/>
      <w:b/>
      <w:bCs/>
      <w:sz w:val="20"/>
      <w:szCs w:val="20"/>
      <w:lang w:eastAsia="en-GB"/>
    </w:rPr>
  </w:style>
  <w:style w:type="paragraph" w:styleId="Textedebulles">
    <w:name w:val="Balloon Text"/>
    <w:basedOn w:val="Normal"/>
    <w:link w:val="TextedebullesCar"/>
    <w:uiPriority w:val="99"/>
    <w:semiHidden/>
    <w:unhideWhenUsed/>
    <w:rsid w:val="009F05E7"/>
    <w:rPr>
      <w:rFonts w:ascii="Tahoma" w:hAnsi="Tahoma" w:cs="Tahoma"/>
      <w:sz w:val="16"/>
      <w:szCs w:val="16"/>
    </w:rPr>
  </w:style>
  <w:style w:type="character" w:customStyle="1" w:styleId="TextedebullesCar">
    <w:name w:val="Texte de bulles Car"/>
    <w:basedOn w:val="Policepardfaut"/>
    <w:link w:val="Textedebulles"/>
    <w:uiPriority w:val="99"/>
    <w:semiHidden/>
    <w:rsid w:val="009F05E7"/>
    <w:rPr>
      <w:rFonts w:ascii="Tahoma" w:hAnsi="Tahoma" w:cs="Tahoma"/>
      <w:sz w:val="16"/>
      <w:szCs w:val="16"/>
      <w:lang w:eastAsia="en-GB"/>
    </w:rPr>
  </w:style>
  <w:style w:type="paragraph" w:styleId="Corpsdetexte">
    <w:name w:val="Body Text"/>
    <w:basedOn w:val="Normal"/>
    <w:link w:val="CorpsdetexteCar"/>
    <w:rsid w:val="00A5720B"/>
    <w:pPr>
      <w:jc w:val="both"/>
    </w:pPr>
    <w:rPr>
      <w:rFonts w:eastAsia="Times New Roman"/>
      <w:snapToGrid w:val="0"/>
      <w:lang w:val="fr-FR" w:eastAsia="fr-FR"/>
    </w:rPr>
  </w:style>
  <w:style w:type="character" w:customStyle="1" w:styleId="CorpsdetexteCar">
    <w:name w:val="Corps de texte Car"/>
    <w:basedOn w:val="Policepardfaut"/>
    <w:link w:val="Corpsdetexte"/>
    <w:rsid w:val="00A5720B"/>
    <w:rPr>
      <w:rFonts w:ascii="Times New Roman" w:eastAsia="Times New Roman" w:hAnsi="Times New Roman" w:cs="Times New Roman"/>
      <w:snapToGrid w:val="0"/>
      <w:sz w:val="24"/>
      <w:szCs w:val="24"/>
      <w:lang w:val="fr-FR" w:eastAsia="fr-FR"/>
    </w:rPr>
  </w:style>
  <w:style w:type="paragraph" w:styleId="En-tte">
    <w:name w:val="header"/>
    <w:basedOn w:val="Normal"/>
    <w:link w:val="En-tteCar"/>
    <w:uiPriority w:val="99"/>
    <w:unhideWhenUsed/>
    <w:rsid w:val="000C5FE4"/>
    <w:pPr>
      <w:tabs>
        <w:tab w:val="center" w:pos="4536"/>
        <w:tab w:val="right" w:pos="9072"/>
      </w:tabs>
    </w:pPr>
  </w:style>
  <w:style w:type="character" w:customStyle="1" w:styleId="En-tteCar">
    <w:name w:val="En-tête Car"/>
    <w:basedOn w:val="Policepardfaut"/>
    <w:link w:val="En-tte"/>
    <w:uiPriority w:val="99"/>
    <w:rsid w:val="000C5FE4"/>
    <w:rPr>
      <w:rFonts w:ascii="Times New Roman" w:hAnsi="Times New Roman" w:cs="Times New Roman"/>
      <w:sz w:val="24"/>
      <w:szCs w:val="24"/>
      <w:lang w:eastAsia="en-GB"/>
    </w:rPr>
  </w:style>
  <w:style w:type="paragraph" w:styleId="Pieddepage">
    <w:name w:val="footer"/>
    <w:basedOn w:val="Normal"/>
    <w:link w:val="PieddepageCar"/>
    <w:uiPriority w:val="99"/>
    <w:unhideWhenUsed/>
    <w:rsid w:val="000C5FE4"/>
    <w:pPr>
      <w:tabs>
        <w:tab w:val="center" w:pos="4536"/>
        <w:tab w:val="right" w:pos="9072"/>
      </w:tabs>
    </w:pPr>
  </w:style>
  <w:style w:type="character" w:customStyle="1" w:styleId="PieddepageCar">
    <w:name w:val="Pied de page Car"/>
    <w:basedOn w:val="Policepardfaut"/>
    <w:link w:val="Pieddepage"/>
    <w:uiPriority w:val="99"/>
    <w:rsid w:val="000C5FE4"/>
    <w:rPr>
      <w:rFonts w:ascii="Times New Roman" w:hAnsi="Times New Roman" w:cs="Times New Roman"/>
      <w:sz w:val="24"/>
      <w:szCs w:val="24"/>
      <w:lang w:eastAsia="en-GB"/>
    </w:rPr>
  </w:style>
  <w:style w:type="paragraph" w:customStyle="1" w:styleId="CE490426FA1F417B964E942E3A6CE9DE">
    <w:name w:val="CE490426FA1F417B964E942E3A6CE9DE"/>
    <w:rsid w:val="000C5FE4"/>
    <w:rPr>
      <w:rFonts w:eastAsiaTheme="minorEastAsia"/>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993672">
      <w:bodyDiv w:val="1"/>
      <w:marLeft w:val="0"/>
      <w:marRight w:val="0"/>
      <w:marTop w:val="0"/>
      <w:marBottom w:val="0"/>
      <w:divBdr>
        <w:top w:val="none" w:sz="0" w:space="0" w:color="auto"/>
        <w:left w:val="none" w:sz="0" w:space="0" w:color="auto"/>
        <w:bottom w:val="none" w:sz="0" w:space="0" w:color="auto"/>
        <w:right w:val="none" w:sz="0" w:space="0" w:color="auto"/>
      </w:divBdr>
    </w:div>
    <w:div w:id="145706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FB2F1968C274911BC5BA01E412706C8"/>
        <w:category>
          <w:name w:val="Général"/>
          <w:gallery w:val="placeholder"/>
        </w:category>
        <w:types>
          <w:type w:val="bbPlcHdr"/>
        </w:types>
        <w:behaviors>
          <w:behavior w:val="content"/>
        </w:behaviors>
        <w:guid w:val="{2F7D805C-0D11-4BA2-8BD2-A8F571280E71}"/>
      </w:docPartPr>
      <w:docPartBody>
        <w:p w:rsidR="00E62FAF" w:rsidRDefault="00872730" w:rsidP="00872730">
          <w:pPr>
            <w:pStyle w:val="4FB2F1968C274911BC5BA01E412706C8"/>
          </w:pPr>
          <w: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LTStd-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Optim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730"/>
    <w:rsid w:val="00872730"/>
    <w:rsid w:val="00BD3812"/>
    <w:rsid w:val="00D40004"/>
    <w:rsid w:val="00E62F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FB2F1968C274911BC5BA01E412706C8">
    <w:name w:val="4FB2F1968C274911BC5BA01E412706C8"/>
    <w:rsid w:val="008727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FB2F1968C274911BC5BA01E412706C8">
    <w:name w:val="4FB2F1968C274911BC5BA01E412706C8"/>
    <w:rsid w:val="00872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1775</Words>
  <Characters>9764</Characters>
  <Application>Microsoft Office Word</Application>
  <DocSecurity>0</DocSecurity>
  <Lines>81</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ACTEO, AFEP &amp; MEDEF - Post-implementation Review: IFRS 8 Operating Segments – 16.11.2012</dc:creator>
  <cp:lastModifiedBy>lisechorques</cp:lastModifiedBy>
  <cp:revision>2</cp:revision>
  <cp:lastPrinted>2012-11-14T15:08:00Z</cp:lastPrinted>
  <dcterms:created xsi:type="dcterms:W3CDTF">2012-11-16T07:48:00Z</dcterms:created>
  <dcterms:modified xsi:type="dcterms:W3CDTF">2012-11-16T07:48:00Z</dcterms:modified>
</cp:coreProperties>
</file>